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6377FA" w:rsidTr="006377F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377F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377FA">
                          <w:tc>
                            <w:tcPr>
                              <w:tcW w:w="0" w:type="auto"/>
                              <w:tcMar>
                                <w:top w:w="0" w:type="dxa"/>
                                <w:left w:w="135" w:type="dxa"/>
                                <w:bottom w:w="0" w:type="dxa"/>
                                <w:right w:w="135" w:type="dxa"/>
                              </w:tcMar>
                              <w:hideMark/>
                            </w:tcPr>
                            <w:p w:rsidR="006377FA" w:rsidRDefault="006377FA">
                              <w:pPr>
                                <w:jc w:val="center"/>
                                <w:rPr>
                                  <w:rFonts w:ascii="Times New Roman" w:hAnsi="Times New Roman" w:cs="Times New Roman"/>
                                  <w:sz w:val="20"/>
                                  <w:szCs w:val="2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574800"/>
                                    <wp:effectExtent l="0" t="0" r="0" b="6350"/>
                                    <wp:wrapSquare wrapText="bothSides"/>
                                    <wp:docPr id="4" name="Obrázek 4" descr="https://gallery.mailchimp.com/cf4422403808ba82123895442/images/02fc1c72-7506-4f3c-b173-95e0925e14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f4422403808ba82123895442/images/02fc1c72-7506-4f3c-b173-95e0925e145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jc w:val="center"/>
                                      <w:rPr>
                                        <w:rFonts w:ascii="Helvetica" w:hAnsi="Helvetica" w:cs="Helvetica"/>
                                        <w:color w:val="606060"/>
                                        <w:sz w:val="23"/>
                                        <w:szCs w:val="23"/>
                                      </w:rPr>
                                    </w:pPr>
                                    <w:r>
                                      <w:rPr>
                                        <w:rFonts w:ascii="Helvetica" w:hAnsi="Helvetica" w:cs="Helvetica"/>
                                        <w:color w:val="606060"/>
                                        <w:sz w:val="23"/>
                                        <w:szCs w:val="23"/>
                                      </w:rPr>
                                      <w:t>AUSA's Five Things: A Weekly Tip Sheet for AUSA Members</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4"/>
                      <w:szCs w:val="24"/>
                    </w:rPr>
                  </w:pPr>
                </w:p>
              </w:tc>
            </w:tr>
          </w:tbl>
          <w:p w:rsidR="006377FA" w:rsidRDefault="006377FA">
            <w:pPr>
              <w:jc w:val="center"/>
              <w:rPr>
                <w:rFonts w:ascii="Times New Roman" w:eastAsia="Times New Roman" w:hAnsi="Times New Roman" w:cs="Times New Roman"/>
                <w:sz w:val="20"/>
                <w:szCs w:val="20"/>
              </w:rPr>
            </w:pPr>
          </w:p>
        </w:tc>
      </w:tr>
      <w:tr w:rsidR="006377FA" w:rsidTr="006377F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377F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rPr>
                                        <w:rFonts w:ascii="Helvetica" w:hAnsi="Helvetica" w:cs="Helvetica"/>
                                        <w:color w:val="606060"/>
                                        <w:sz w:val="23"/>
                                        <w:szCs w:val="23"/>
                                      </w:rPr>
                                    </w:pPr>
                                    <w:r>
                                      <w:rPr>
                                        <w:rFonts w:ascii="Helvetica" w:hAnsi="Helvetica" w:cs="Helvetica"/>
                                        <w:color w:val="606060"/>
                                        <w:sz w:val="96"/>
                                        <w:szCs w:val="96"/>
                                      </w:rPr>
                                      <w:t>1</w:t>
                                    </w:r>
                                    <w:r>
                                      <w:rPr>
                                        <w:rFonts w:ascii="Helvetica" w:hAnsi="Helvetica" w:cs="Helvetica"/>
                                        <w:color w:val="606060"/>
                                        <w:sz w:val="27"/>
                                        <w:szCs w:val="27"/>
                                      </w:rPr>
                                      <w:t> </w:t>
                                    </w:r>
                                    <w:r>
                                      <w:rPr>
                                        <w:rFonts w:ascii="Helvetica" w:hAnsi="Helvetica" w:cs="Helvetica"/>
                                        <w:color w:val="606060"/>
                                        <w:sz w:val="23"/>
                                        <w:szCs w:val="23"/>
                                        <w:u w:val="single"/>
                                      </w:rPr>
                                      <w:t>Accelerating NDAA</w:t>
                                    </w:r>
                                    <w:r>
                                      <w:rPr>
                                        <w:rFonts w:ascii="Helvetica" w:hAnsi="Helvetica" w:cs="Helvetica"/>
                                        <w:color w:val="606060"/>
                                        <w:sz w:val="23"/>
                                        <w:szCs w:val="23"/>
                                      </w:rPr>
                                      <w:t xml:space="preserve"> </w:t>
                                    </w:r>
                                  </w:p>
                                  <w:p w:rsidR="006377FA" w:rsidRDefault="006377F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The fate of the 2018 National Defense Authorization Act, a major policy bill that authorizes the size of the force and extends, starts and ends programs, has been in doubt since Sen. John McCain of Arizona, the Senate Armed Services Committee chairman, announced he has brain cancer. House and Senate aides have been scurrying to work out differences between the House and Senate versions of the bill so it is ready for final approval between McCain’s medical treatments.</w:t>
                                    </w:r>
                                    <w:r>
                                      <w:rPr>
                                        <w:rFonts w:ascii="Helvetica" w:hAnsi="Helvetica" w:cs="Helvetica"/>
                                        <w:color w:val="606060"/>
                                        <w:sz w:val="23"/>
                                        <w:szCs w:val="23"/>
                                      </w:rPr>
                                      <w:br/>
                                    </w:r>
                                    <w:r>
                                      <w:rPr>
                                        <w:rFonts w:ascii="Helvetica" w:hAnsi="Helvetica" w:cs="Helvetica"/>
                                        <w:color w:val="606060"/>
                                        <w:sz w:val="23"/>
                                        <w:szCs w:val="23"/>
                                      </w:rPr>
                                      <w:br/>
                                    </w:r>
                                    <w:r>
                                      <w:rPr>
                                        <w:rStyle w:val="Zdraznn"/>
                                        <w:rFonts w:ascii="Helvetica" w:hAnsi="Helvetica" w:cs="Helvetica"/>
                                        <w:color w:val="606060"/>
                                        <w:sz w:val="23"/>
                                        <w:szCs w:val="23"/>
                                      </w:rPr>
                                      <w:t>What to watch: With the House and Senate both in town this week, NDAA negotiators are hoping to make major decisions. The biggest hurdle they face isn’t McCain’s treatment but the failure of Congress to decide how much to spend on defense. Not having a top line will hold up the bill even if other major issues are decided.</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rPr>
                                        <w:rFonts w:ascii="Helvetica" w:hAnsi="Helvetica" w:cs="Helvetica"/>
                                        <w:color w:val="606060"/>
                                        <w:sz w:val="23"/>
                                        <w:szCs w:val="23"/>
                                      </w:rPr>
                                    </w:pPr>
                                    <w:r>
                                      <w:rPr>
                                        <w:rFonts w:ascii="Helvetica" w:hAnsi="Helvetica" w:cs="Helvetica"/>
                                        <w:color w:val="606060"/>
                                        <w:sz w:val="96"/>
                                        <w:szCs w:val="96"/>
                                      </w:rPr>
                                      <w:lastRenderedPageBreak/>
                                      <w:t>2</w:t>
                                    </w:r>
                                    <w:r>
                                      <w:rPr>
                                        <w:rFonts w:ascii="Helvetica" w:hAnsi="Helvetica" w:cs="Helvetica"/>
                                        <w:color w:val="606060"/>
                                        <w:sz w:val="27"/>
                                        <w:szCs w:val="27"/>
                                      </w:rPr>
                                      <w:t> </w:t>
                                    </w:r>
                                    <w:r>
                                      <w:rPr>
                                        <w:rFonts w:ascii="Helvetica" w:hAnsi="Helvetica" w:cs="Helvetica"/>
                                        <w:color w:val="606060"/>
                                        <w:sz w:val="23"/>
                                        <w:szCs w:val="23"/>
                                        <w:u w:val="single"/>
                                      </w:rPr>
                                      <w:t>Dropping the ‘X'</w:t>
                                    </w:r>
                                    <w:r>
                                      <w:rPr>
                                        <w:rFonts w:ascii="Helvetica" w:hAnsi="Helvetica" w:cs="Helvetica"/>
                                        <w:color w:val="606060"/>
                                        <w:sz w:val="23"/>
                                        <w:szCs w:val="23"/>
                                      </w:rPr>
                                      <w:t xml:space="preserve"> </w:t>
                                    </w:r>
                                  </w:p>
                                  <w:p w:rsidR="006377FA" w:rsidRDefault="006377F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Field testing continues for the Sig Sauer modular handgun system selected by the Army to replace the M9 Beretta. The 101st Airborne Division at Fort Campbell, Ky., the 3rd Cavalry Regiment at Fort Hood, Texas, and a security force assistance brigade will be the first three units to get the new pistol.</w:t>
                                    </w:r>
                                  </w:p>
                                  <w:p w:rsidR="006377FA" w:rsidRDefault="006377FA">
                                    <w:pPr>
                                      <w:spacing w:before="240" w:after="240" w:line="360" w:lineRule="auto"/>
                                      <w:rPr>
                                        <w:rFonts w:ascii="Helvetica" w:hAnsi="Helvetica" w:cs="Helvetica"/>
                                        <w:color w:val="606060"/>
                                        <w:sz w:val="23"/>
                                        <w:szCs w:val="23"/>
                                      </w:rPr>
                                    </w:pPr>
                                    <w:r>
                                      <w:rPr>
                                        <w:rStyle w:val="Zdraznn"/>
                                        <w:rFonts w:ascii="Helvetica" w:hAnsi="Helvetica" w:cs="Helvetica"/>
                                        <w:color w:val="606060"/>
                                        <w:sz w:val="23"/>
                                        <w:szCs w:val="23"/>
                                      </w:rPr>
                                      <w:t xml:space="preserve">What to watch: The “X” on the XM17 modular handgun will disappear in November when about 2,000 pistols will be issued to the 101st Airborne Division. All three units will have the M17 by the end of the year. </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rPr>
                                        <w:rFonts w:ascii="Helvetica" w:hAnsi="Helvetica" w:cs="Helvetica"/>
                                        <w:color w:val="606060"/>
                                        <w:sz w:val="23"/>
                                        <w:szCs w:val="23"/>
                                      </w:rPr>
                                    </w:pPr>
                                    <w:r>
                                      <w:rPr>
                                        <w:rFonts w:ascii="Helvetica" w:hAnsi="Helvetica" w:cs="Helvetica"/>
                                        <w:color w:val="606060"/>
                                        <w:sz w:val="96"/>
                                        <w:szCs w:val="96"/>
                                      </w:rPr>
                                      <w:t>3</w:t>
                                    </w:r>
                                    <w:r>
                                      <w:rPr>
                                        <w:rFonts w:ascii="Helvetica" w:hAnsi="Helvetica" w:cs="Helvetica"/>
                                        <w:color w:val="606060"/>
                                        <w:sz w:val="27"/>
                                        <w:szCs w:val="27"/>
                                      </w:rPr>
                                      <w:t> </w:t>
                                    </w:r>
                                    <w:r>
                                      <w:rPr>
                                        <w:rFonts w:ascii="Helvetica" w:hAnsi="Helvetica" w:cs="Helvetica"/>
                                        <w:color w:val="606060"/>
                                        <w:sz w:val="23"/>
                                        <w:szCs w:val="23"/>
                                        <w:u w:val="single"/>
                                      </w:rPr>
                                      <w:t>A College in Your Pocket</w:t>
                                    </w:r>
                                    <w:r>
                                      <w:rPr>
                                        <w:rFonts w:ascii="Helvetica" w:hAnsi="Helvetica" w:cs="Helvetica"/>
                                        <w:color w:val="606060"/>
                                        <w:sz w:val="23"/>
                                        <w:szCs w:val="23"/>
                                      </w:rPr>
                                      <w:t xml:space="preserve"> </w:t>
                                    </w:r>
                                  </w:p>
                                  <w:p w:rsidR="006377FA" w:rsidRDefault="006377F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As part of a larger soldier education project, the Army is looking at creating a standard-issue computer tablet that would make online professional military education and development resources available around the globe and around the clock. A prototype used by Sgt. Maj. of the Army Daniel Dailey is a small touchscreen the size of a skinny book that includes course material and could be used for taking tests. Dailey says it could have operational and classroom uses.</w:t>
                                    </w:r>
                                  </w:p>
                                  <w:p w:rsidR="006377FA" w:rsidRDefault="006377FA">
                                    <w:pPr>
                                      <w:spacing w:before="240" w:after="240" w:line="360" w:lineRule="auto"/>
                                      <w:rPr>
                                        <w:rFonts w:ascii="Helvetica" w:hAnsi="Helvetica" w:cs="Helvetica"/>
                                        <w:color w:val="606060"/>
                                        <w:sz w:val="23"/>
                                        <w:szCs w:val="23"/>
                                      </w:rPr>
                                    </w:pPr>
                                    <w:r>
                                      <w:rPr>
                                        <w:rStyle w:val="Zdraznn"/>
                                        <w:rFonts w:ascii="Helvetica" w:hAnsi="Helvetica" w:cs="Helvetica"/>
                                        <w:color w:val="606060"/>
                                        <w:sz w:val="23"/>
                                        <w:szCs w:val="23"/>
                                      </w:rPr>
                                      <w:t xml:space="preserve">What to watch: Testing is underway to determine if the Army needs to have a common device for everyone or if soldiers could just use their own tablets and smartphones with a Common Access Card reader attached. </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rPr>
                                        <w:rFonts w:ascii="Helvetica" w:hAnsi="Helvetica" w:cs="Helvetica"/>
                                        <w:color w:val="606060"/>
                                        <w:sz w:val="23"/>
                                        <w:szCs w:val="23"/>
                                      </w:rPr>
                                    </w:pPr>
                                    <w:r>
                                      <w:rPr>
                                        <w:rFonts w:ascii="Helvetica" w:hAnsi="Helvetica" w:cs="Helvetica"/>
                                        <w:color w:val="606060"/>
                                        <w:sz w:val="96"/>
                                        <w:szCs w:val="96"/>
                                      </w:rPr>
                                      <w:lastRenderedPageBreak/>
                                      <w:t>4</w:t>
                                    </w:r>
                                    <w:r>
                                      <w:rPr>
                                        <w:rFonts w:ascii="Helvetica" w:hAnsi="Helvetica" w:cs="Helvetica"/>
                                        <w:color w:val="606060"/>
                                        <w:sz w:val="27"/>
                                        <w:szCs w:val="27"/>
                                      </w:rPr>
                                      <w:t> </w:t>
                                    </w:r>
                                    <w:r>
                                      <w:rPr>
                                        <w:rFonts w:ascii="Helvetica" w:hAnsi="Helvetica" w:cs="Helvetica"/>
                                        <w:color w:val="606060"/>
                                        <w:sz w:val="23"/>
                                        <w:szCs w:val="23"/>
                                        <w:u w:val="single"/>
                                      </w:rPr>
                                      <w:t>PTSD-Blocking Helmet</w:t>
                                    </w:r>
                                    <w:r>
                                      <w:rPr>
                                        <w:rFonts w:ascii="Helvetica" w:hAnsi="Helvetica" w:cs="Helvetica"/>
                                        <w:color w:val="606060"/>
                                        <w:sz w:val="23"/>
                                        <w:szCs w:val="23"/>
                                      </w:rPr>
                                      <w:br/>
                                    </w:r>
                                    <w:r>
                                      <w:rPr>
                                        <w:rFonts w:ascii="Helvetica" w:hAnsi="Helvetica" w:cs="Helvetica"/>
                                        <w:color w:val="606060"/>
                                        <w:sz w:val="23"/>
                                        <w:szCs w:val="23"/>
                                      </w:rPr>
                                      <w:br/>
                                      <w:t xml:space="preserve">A new report in </w:t>
                                    </w:r>
                                    <w:r>
                                      <w:rPr>
                                        <w:rStyle w:val="Zdraznn"/>
                                        <w:rFonts w:ascii="Helvetica" w:hAnsi="Helvetica" w:cs="Helvetica"/>
                                        <w:color w:val="606060"/>
                                        <w:sz w:val="23"/>
                                        <w:szCs w:val="23"/>
                                      </w:rPr>
                                      <w:t xml:space="preserve">Polymer </w:t>
                                    </w:r>
                                    <w:r>
                                      <w:rPr>
                                        <w:rFonts w:ascii="Helvetica" w:hAnsi="Helvetica" w:cs="Helvetica"/>
                                        <w:color w:val="606060"/>
                                        <w:sz w:val="23"/>
                                        <w:szCs w:val="23"/>
                                      </w:rPr>
                                      <w:t>magazine describes success by the Army and Massachusetts Institute of Technology in creating a new rubber-like material that gets stronger when struck but then softens when the impact ends, a result that could lead to a better combat helmet. They tested it by firing microprojectiles at the polyurethane substance, watching how it hardened to absorb the impact.</w:t>
                                    </w:r>
                                    <w:r>
                                      <w:rPr>
                                        <w:rFonts w:ascii="Helvetica" w:hAnsi="Helvetica" w:cs="Helvetica"/>
                                        <w:color w:val="606060"/>
                                        <w:sz w:val="23"/>
                                        <w:szCs w:val="23"/>
                                      </w:rPr>
                                      <w:br/>
                                    </w:r>
                                    <w:r>
                                      <w:rPr>
                                        <w:rFonts w:ascii="Helvetica" w:hAnsi="Helvetica" w:cs="Helvetica"/>
                                        <w:color w:val="606060"/>
                                        <w:sz w:val="23"/>
                                        <w:szCs w:val="23"/>
                                      </w:rPr>
                                      <w:br/>
                                    </w:r>
                                    <w:r>
                                      <w:rPr>
                                        <w:rStyle w:val="Zdraznn"/>
                                        <w:rFonts w:ascii="Helvetica" w:hAnsi="Helvetica" w:cs="Helvetica"/>
                                        <w:color w:val="606060"/>
                                        <w:sz w:val="23"/>
                                        <w:szCs w:val="23"/>
                                      </w:rPr>
                                      <w:t>What to watch: Helmets that offer better blast protection might reduce damage to the brain that may cause traumatic injury and post-traumatic stress. It may also have other uses in protective wear.</w:t>
                                    </w:r>
                                    <w:r>
                                      <w:rPr>
                                        <w:rFonts w:ascii="Helvetica" w:hAnsi="Helvetica" w:cs="Helvetica"/>
                                        <w:color w:val="606060"/>
                                        <w:sz w:val="23"/>
                                        <w:szCs w:val="23"/>
                                      </w:rPr>
                                      <w:t xml:space="preserve"> </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rPr>
                                        <w:rFonts w:ascii="Helvetica" w:hAnsi="Helvetica" w:cs="Helvetica"/>
                                        <w:color w:val="606060"/>
                                        <w:sz w:val="23"/>
                                        <w:szCs w:val="23"/>
                                      </w:rPr>
                                    </w:pPr>
                                    <w:r>
                                      <w:rPr>
                                        <w:rFonts w:ascii="Helvetica" w:hAnsi="Helvetica" w:cs="Helvetica"/>
                                        <w:color w:val="606060"/>
                                        <w:sz w:val="96"/>
                                        <w:szCs w:val="96"/>
                                      </w:rPr>
                                      <w:t>5</w:t>
                                    </w:r>
                                    <w:r>
                                      <w:rPr>
                                        <w:rFonts w:ascii="Helvetica" w:hAnsi="Helvetica" w:cs="Helvetica"/>
                                        <w:color w:val="606060"/>
                                        <w:sz w:val="27"/>
                                        <w:szCs w:val="27"/>
                                      </w:rPr>
                                      <w:t> </w:t>
                                    </w:r>
                                    <w:r>
                                      <w:rPr>
                                        <w:rFonts w:ascii="Helvetica" w:hAnsi="Helvetica" w:cs="Helvetica"/>
                                        <w:color w:val="606060"/>
                                        <w:sz w:val="23"/>
                                        <w:szCs w:val="23"/>
                                        <w:u w:val="single"/>
                                      </w:rPr>
                                      <w:t>Spring Deployments for SFAB</w:t>
                                    </w:r>
                                    <w:r>
                                      <w:rPr>
                                        <w:rFonts w:ascii="Helvetica" w:hAnsi="Helvetica" w:cs="Helvetica"/>
                                        <w:color w:val="606060"/>
                                        <w:sz w:val="23"/>
                                        <w:szCs w:val="23"/>
                                      </w:rPr>
                                      <w:br/>
                                    </w:r>
                                    <w:r>
                                      <w:rPr>
                                        <w:rFonts w:ascii="Helvetica" w:hAnsi="Helvetica" w:cs="Helvetica"/>
                                        <w:color w:val="606060"/>
                                        <w:sz w:val="23"/>
                                        <w:szCs w:val="23"/>
                                      </w:rPr>
                                      <w:br/>
                                      <w:t>The formation of several security force assistance brigades is a key part of Army plans for improving readiness because these units of 500 to 600 soldiers could take on training, advising and assistance missions that would free up combat formations. “We think it’s about time we recognize that fact with force structure specifically designed to train, man and equip organizations that can go forward for those operations,” Chief of Staff Gen. Mark A. Milley said during AUSA’s Annual Meeting and Exposition.</w:t>
                                    </w:r>
                                    <w:r>
                                      <w:rPr>
                                        <w:rFonts w:ascii="Helvetica" w:hAnsi="Helvetica" w:cs="Helvetica"/>
                                        <w:color w:val="606060"/>
                                        <w:sz w:val="23"/>
                                        <w:szCs w:val="23"/>
                                      </w:rPr>
                                      <w:br/>
                                    </w:r>
                                    <w:r>
                                      <w:rPr>
                                        <w:rFonts w:ascii="Helvetica" w:hAnsi="Helvetica" w:cs="Helvetica"/>
                                        <w:color w:val="606060"/>
                                        <w:sz w:val="23"/>
                                        <w:szCs w:val="23"/>
                                      </w:rPr>
                                      <w:br/>
                                    </w:r>
                                    <w:r>
                                      <w:rPr>
                                        <w:rStyle w:val="Zdraznn"/>
                                        <w:rFonts w:ascii="Helvetica" w:hAnsi="Helvetica" w:cs="Helvetica"/>
                                        <w:color w:val="606060"/>
                                        <w:sz w:val="23"/>
                                        <w:szCs w:val="23"/>
                                      </w:rPr>
                                      <w:t xml:space="preserve">What to watch: The first brigade has been formed and is expected to deploy in the spring to Afghanistan. Lessons learned in training and deploying the first group will determine how quickly three more SFABs are formed, but the Army would like to </w:t>
                                    </w:r>
                                    <w:r>
                                      <w:rPr>
                                        <w:rStyle w:val="Zdraznn"/>
                                        <w:rFonts w:ascii="Helvetica" w:hAnsi="Helvetica" w:cs="Helvetica"/>
                                        <w:color w:val="606060"/>
                                        <w:sz w:val="23"/>
                                        <w:szCs w:val="23"/>
                                      </w:rPr>
                                      <w:lastRenderedPageBreak/>
                                      <w:t>have another dedicated to the U.S. Central Command, plus one each for Europe, the Pacific and Africa.</w:t>
                                    </w:r>
                                    <w:r>
                                      <w:rPr>
                                        <w:rFonts w:ascii="Helvetica" w:hAnsi="Helvetica" w:cs="Helvetica"/>
                                        <w:color w:val="606060"/>
                                        <w:sz w:val="23"/>
                                        <w:szCs w:val="23"/>
                                      </w:rPr>
                                      <w:t xml:space="preserve"> </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pStyle w:val="Nadpis3"/>
                                      <w:rPr>
                                        <w:rFonts w:eastAsia="Times New Roman"/>
                                      </w:rPr>
                                    </w:pPr>
                                    <w:r>
                                      <w:rPr>
                                        <w:rFonts w:eastAsia="Times New Roman"/>
                                      </w:rPr>
                                      <w:t>World War I Remembered</w:t>
                                    </w:r>
                                  </w:p>
                                  <w:p w:rsidR="006377FA" w:rsidRDefault="006377FA">
                                    <w:pPr>
                                      <w:spacing w:line="360" w:lineRule="auto"/>
                                      <w:rPr>
                                        <w:rFonts w:ascii="Helvetica" w:hAnsi="Helvetica" w:cs="Helvetica"/>
                                        <w:color w:val="606060"/>
                                        <w:sz w:val="23"/>
                                        <w:szCs w:val="23"/>
                                      </w:rPr>
                                    </w:pPr>
                                    <w:r>
                                      <w:rPr>
                                        <w:rFonts w:ascii="Helvetica" w:hAnsi="Helvetica" w:cs="Helvetica"/>
                                        <w:color w:val="606060"/>
                                        <w:sz w:val="23"/>
                                        <w:szCs w:val="23"/>
                                      </w:rPr>
                                      <w:br/>
                                      <w:t xml:space="preserve">On Oct. 16, 1917, Marshal of France Joseph Joffre concludes two days of visits with U.S. Gen. John J. Pershing at an American training camp where soldier are learning about trench warfare. Widely known as Papa Joffre, he said, “I have been highly gratified by what I have seen today. I am confident that when the time comes to go to the trenches and meet the enemy they will give the same excellent account of themselves in action as they did in practice today.” </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377FA">
                          <w:tc>
                            <w:tcPr>
                              <w:tcW w:w="0" w:type="auto"/>
                              <w:tcBorders>
                                <w:top w:val="single" w:sz="8" w:space="0" w:color="999999"/>
                                <w:left w:val="nil"/>
                                <w:bottom w:val="nil"/>
                                <w:right w:val="nil"/>
                              </w:tcBorders>
                              <w:vAlign w:val="center"/>
                              <w:hideMark/>
                            </w:tcPr>
                            <w:p w:rsidR="006377FA" w:rsidRDefault="006377FA"/>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60" w:lineRule="auto"/>
                                      <w:jc w:val="center"/>
                                      <w:rPr>
                                        <w:rFonts w:ascii="Helvetica" w:hAnsi="Helvetica" w:cs="Helvetica"/>
                                        <w:color w:val="606060"/>
                                        <w:sz w:val="23"/>
                                        <w:szCs w:val="23"/>
                                      </w:rPr>
                                    </w:pPr>
                                    <w:r>
                                      <w:rPr>
                                        <w:rFonts w:ascii="Arial" w:hAnsi="Arial" w:cs="Arial"/>
                                        <w:color w:val="606060"/>
                                        <w:sz w:val="26"/>
                                        <w:szCs w:val="26"/>
                                      </w:rPr>
                                      <w:t>Know someone who would benefit from AUSA Membership? </w:t>
                                    </w:r>
                                    <w:hyperlink r:id="rId5" w:tgtFrame="_blank" w:history="1">
                                      <w:r>
                                        <w:rPr>
                                          <w:rStyle w:val="Hypertextovodkaz"/>
                                          <w:rFonts w:ascii="Arial" w:hAnsi="Arial" w:cs="Arial"/>
                                          <w:color w:val="DF5400"/>
                                          <w:sz w:val="26"/>
                                          <w:szCs w:val="26"/>
                                        </w:rPr>
                                        <w:t>Click Here</w:t>
                                      </w:r>
                                    </w:hyperlink>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4"/>
                      <w:szCs w:val="24"/>
                    </w:rPr>
                  </w:pPr>
                </w:p>
              </w:tc>
            </w:tr>
          </w:tbl>
          <w:p w:rsidR="006377FA" w:rsidRDefault="006377FA">
            <w:pPr>
              <w:jc w:val="center"/>
              <w:rPr>
                <w:rFonts w:ascii="Times New Roman" w:eastAsia="Times New Roman" w:hAnsi="Times New Roman" w:cs="Times New Roman"/>
                <w:sz w:val="20"/>
                <w:szCs w:val="20"/>
              </w:rPr>
            </w:pPr>
          </w:p>
        </w:tc>
      </w:tr>
      <w:tr w:rsidR="006377FA" w:rsidTr="006377F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377FA">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377FA">
                    <w:tc>
                      <w:tcPr>
                        <w:tcW w:w="0" w:type="auto"/>
                        <w:hideMark/>
                      </w:tcPr>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377FA">
                    <w:tc>
                      <w:tcPr>
                        <w:tcW w:w="0" w:type="auto"/>
                        <w:hideMark/>
                      </w:tcPr>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pPr>
              <w:jc w:val="center"/>
              <w:rPr>
                <w:rFonts w:ascii="Times New Roman" w:eastAsia="Times New Roman" w:hAnsi="Times New Roman" w:cs="Times New Roman"/>
                <w:sz w:val="20"/>
                <w:szCs w:val="20"/>
              </w:rPr>
            </w:pPr>
          </w:p>
        </w:tc>
      </w:tr>
      <w:tr w:rsidR="006377FA" w:rsidTr="006377FA">
        <w:trPr>
          <w:jc w:val="center"/>
        </w:trPr>
        <w:tc>
          <w:tcPr>
            <w:tcW w:w="0" w:type="auto"/>
            <w:hideMark/>
          </w:tcPr>
          <w:tbl>
            <w:tblPr>
              <w:tblW w:w="9000" w:type="dxa"/>
              <w:jc w:val="center"/>
              <w:shd w:val="clear" w:color="auto" w:fill="CCCCCC"/>
              <w:tblCellMar>
                <w:left w:w="0" w:type="dxa"/>
                <w:right w:w="0" w:type="dxa"/>
              </w:tblCellMar>
              <w:tblLook w:val="04A0" w:firstRow="1" w:lastRow="0" w:firstColumn="1" w:lastColumn="0" w:noHBand="0" w:noVBand="1"/>
            </w:tblPr>
            <w:tblGrid>
              <w:gridCol w:w="9000"/>
            </w:tblGrid>
            <w:tr w:rsidR="006377FA">
              <w:trPr>
                <w:jc w:val="center"/>
              </w:trPr>
              <w:tc>
                <w:tcPr>
                  <w:tcW w:w="0" w:type="auto"/>
                  <w:shd w:val="clear" w:color="auto" w:fill="CCCCCC"/>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377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77FA">
                                <w:tc>
                                  <w:tcPr>
                                    <w:tcW w:w="0" w:type="auto"/>
                                    <w:tcMar>
                                      <w:top w:w="0" w:type="dxa"/>
                                      <w:left w:w="270" w:type="dxa"/>
                                      <w:bottom w:w="135" w:type="dxa"/>
                                      <w:right w:w="270" w:type="dxa"/>
                                    </w:tcMar>
                                    <w:hideMark/>
                                  </w:tcPr>
                                  <w:p w:rsidR="006377FA" w:rsidRDefault="006377FA">
                                    <w:pPr>
                                      <w:spacing w:line="300" w:lineRule="auto"/>
                                      <w:rPr>
                                        <w:rFonts w:ascii="Helvetica" w:hAnsi="Helvetica" w:cs="Helvetica"/>
                                        <w:color w:val="606060"/>
                                        <w:sz w:val="17"/>
                                        <w:szCs w:val="17"/>
                                      </w:rPr>
                                    </w:pPr>
                                    <w:r>
                                      <w:rPr>
                                        <w:rStyle w:val="Zdraznn"/>
                                        <w:rFonts w:ascii="Helvetica" w:hAnsi="Helvetica" w:cs="Helvetica"/>
                                        <w:color w:val="606060"/>
                                        <w:sz w:val="17"/>
                                        <w:szCs w:val="17"/>
                                      </w:rPr>
                                      <w:t>Copyright © 2017 Association of the U.S. Army, All rights reserved.</w:t>
                                    </w:r>
                                    <w:r>
                                      <w:rPr>
                                        <w:rFonts w:ascii="Helvetica" w:hAnsi="Helvetica" w:cs="Helvetica"/>
                                        <w:color w:val="606060"/>
                                        <w:sz w:val="17"/>
                                        <w:szCs w:val="17"/>
                                      </w:rPr>
                                      <w:br/>
                                      <w:t>You are receiving this email because you are an AUSA member</w:t>
                                    </w:r>
                                    <w:r>
                                      <w:rPr>
                                        <w:rFonts w:ascii="Helvetica" w:hAnsi="Helvetica" w:cs="Helvetica"/>
                                        <w:color w:val="606060"/>
                                        <w:sz w:val="17"/>
                                        <w:szCs w:val="17"/>
                                      </w:rPr>
                                      <w:br/>
                                    </w:r>
                                    <w:r>
                                      <w:rPr>
                                        <w:rFonts w:ascii="Helvetica" w:hAnsi="Helvetica" w:cs="Helvetica"/>
                                        <w:color w:val="606060"/>
                                        <w:sz w:val="17"/>
                                        <w:szCs w:val="17"/>
                                      </w:rPr>
                                      <w:br/>
                                    </w:r>
                                    <w:r>
                                      <w:rPr>
                                        <w:rStyle w:val="Siln"/>
                                        <w:rFonts w:ascii="Helvetica" w:hAnsi="Helvetica" w:cs="Helvetica"/>
                                        <w:color w:val="606060"/>
                                        <w:sz w:val="17"/>
                                        <w:szCs w:val="17"/>
                                      </w:rPr>
                                      <w:t>Our mailing address is:</w:t>
                                    </w:r>
                                  </w:p>
                                  <w:p w:rsidR="006377FA" w:rsidRDefault="006377FA">
                                    <w:pPr>
                                      <w:spacing w:line="300" w:lineRule="auto"/>
                                      <w:rPr>
                                        <w:rFonts w:ascii="Helvetica" w:hAnsi="Helvetica" w:cs="Helvetica"/>
                                        <w:color w:val="606060"/>
                                        <w:sz w:val="17"/>
                                        <w:szCs w:val="17"/>
                                      </w:rPr>
                                    </w:pPr>
                                    <w:r>
                                      <w:rPr>
                                        <w:rStyle w:val="org"/>
                                        <w:rFonts w:ascii="Helvetica" w:hAnsi="Helvetica" w:cs="Helvetica"/>
                                        <w:color w:val="606060"/>
                                        <w:sz w:val="17"/>
                                        <w:szCs w:val="17"/>
                                      </w:rPr>
                                      <w:t>Association of the U.S. Army</w:t>
                                    </w:r>
                                  </w:p>
                                  <w:p w:rsidR="006377FA" w:rsidRDefault="006377FA">
                                    <w:pPr>
                                      <w:spacing w:line="300" w:lineRule="auto"/>
                                      <w:rPr>
                                        <w:rFonts w:ascii="Helvetica" w:hAnsi="Helvetica" w:cs="Helvetica"/>
                                        <w:color w:val="606060"/>
                                        <w:sz w:val="17"/>
                                        <w:szCs w:val="17"/>
                                      </w:rPr>
                                    </w:pPr>
                                    <w:r>
                                      <w:rPr>
                                        <w:rFonts w:ascii="Helvetica" w:hAnsi="Helvetica" w:cs="Helvetica"/>
                                        <w:color w:val="606060"/>
                                        <w:sz w:val="17"/>
                                        <w:szCs w:val="17"/>
                                      </w:rPr>
                                      <w:t>2425 Wilson Blvd</w:t>
                                    </w:r>
                                  </w:p>
                                  <w:p w:rsidR="006377FA" w:rsidRDefault="006377FA">
                                    <w:pPr>
                                      <w:spacing w:line="300" w:lineRule="auto"/>
                                      <w:rPr>
                                        <w:rFonts w:ascii="Helvetica" w:hAnsi="Helvetica" w:cs="Helvetica"/>
                                        <w:color w:val="606060"/>
                                        <w:sz w:val="17"/>
                                        <w:szCs w:val="17"/>
                                      </w:rPr>
                                    </w:pPr>
                                    <w:r>
                                      <w:rPr>
                                        <w:rStyle w:val="locality"/>
                                        <w:rFonts w:ascii="Helvetica" w:hAnsi="Helvetica" w:cs="Helvetica"/>
                                        <w:color w:val="606060"/>
                                        <w:sz w:val="17"/>
                                        <w:szCs w:val="17"/>
                                      </w:rPr>
                                      <w:t>Arlington</w:t>
                                    </w:r>
                                    <w:r>
                                      <w:rPr>
                                        <w:rFonts w:ascii="Helvetica" w:hAnsi="Helvetica" w:cs="Helvetica"/>
                                        <w:color w:val="606060"/>
                                        <w:sz w:val="17"/>
                                        <w:szCs w:val="17"/>
                                      </w:rPr>
                                      <w:t xml:space="preserve">, </w:t>
                                    </w:r>
                                    <w:r>
                                      <w:rPr>
                                        <w:rStyle w:val="region"/>
                                        <w:rFonts w:ascii="Helvetica" w:hAnsi="Helvetica" w:cs="Helvetica"/>
                                        <w:color w:val="606060"/>
                                        <w:sz w:val="17"/>
                                        <w:szCs w:val="17"/>
                                      </w:rPr>
                                      <w:t>VA</w:t>
                                    </w:r>
                                    <w:r>
                                      <w:rPr>
                                        <w:rFonts w:ascii="Helvetica" w:hAnsi="Helvetica" w:cs="Helvetica"/>
                                        <w:color w:val="606060"/>
                                        <w:sz w:val="17"/>
                                        <w:szCs w:val="17"/>
                                      </w:rPr>
                                      <w:t xml:space="preserve"> </w:t>
                                    </w:r>
                                    <w:r>
                                      <w:rPr>
                                        <w:rStyle w:val="postal-code"/>
                                        <w:rFonts w:ascii="Helvetica" w:hAnsi="Helvetica" w:cs="Helvetica"/>
                                        <w:color w:val="606060"/>
                                        <w:sz w:val="17"/>
                                        <w:szCs w:val="17"/>
                                      </w:rPr>
                                      <w:t>22201</w:t>
                                    </w:r>
                                  </w:p>
                                  <w:p w:rsidR="006377FA" w:rsidRDefault="006377FA">
                                    <w:pPr>
                                      <w:spacing w:line="300" w:lineRule="auto"/>
                                      <w:rPr>
                                        <w:rFonts w:ascii="Helvetica" w:hAnsi="Helvetica" w:cs="Helvetica"/>
                                        <w:color w:val="606060"/>
                                        <w:sz w:val="17"/>
                                        <w:szCs w:val="17"/>
                                      </w:rPr>
                                    </w:pPr>
                                    <w:r>
                                      <w:rPr>
                                        <w:rFonts w:ascii="Helvetica" w:hAnsi="Helvetica" w:cs="Helvetica"/>
                                        <w:color w:val="606060"/>
                                        <w:sz w:val="17"/>
                                        <w:szCs w:val="17"/>
                                      </w:rPr>
                                      <w:br/>
                                    </w:r>
                                    <w:hyperlink r:id="rId6" w:history="1">
                                      <w:r>
                                        <w:rPr>
                                          <w:rStyle w:val="Hypertextovodkaz"/>
                                          <w:sz w:val="17"/>
                                          <w:szCs w:val="17"/>
                                        </w:rPr>
                                        <w:t>Add us to your address book</w:t>
                                      </w:r>
                                    </w:hyperlink>
                                  </w:p>
                                  <w:p w:rsidR="006377FA" w:rsidRDefault="006377FA">
                                    <w:pPr>
                                      <w:spacing w:after="240" w:line="300" w:lineRule="auto"/>
                                      <w:rPr>
                                        <w:rFonts w:ascii="Helvetica" w:hAnsi="Helvetica" w:cs="Helvetica"/>
                                        <w:color w:val="606060"/>
                                        <w:sz w:val="17"/>
                                        <w:szCs w:val="17"/>
                                      </w:rPr>
                                    </w:pPr>
                                    <w:r>
                                      <w:rPr>
                                        <w:rFonts w:ascii="Helvetica" w:hAnsi="Helvetica" w:cs="Helvetica"/>
                                        <w:color w:val="606060"/>
                                        <w:sz w:val="17"/>
                                        <w:szCs w:val="17"/>
                                      </w:rPr>
                                      <w:br/>
                                    </w:r>
                                    <w:r>
                                      <w:rPr>
                                        <w:rFonts w:ascii="Helvetica" w:hAnsi="Helvetica" w:cs="Helvetica"/>
                                        <w:color w:val="606060"/>
                                        <w:sz w:val="17"/>
                                        <w:szCs w:val="17"/>
                                      </w:rPr>
                                      <w:br/>
                                    </w:r>
                                    <w:hyperlink r:id="rId7" w:history="1">
                                      <w:r>
                                        <w:rPr>
                                          <w:rStyle w:val="Hypertextovodkaz"/>
                                          <w:sz w:val="17"/>
                                          <w:szCs w:val="17"/>
                                        </w:rPr>
                                        <w:t>unsubscribe from this list</w:t>
                                      </w:r>
                                    </w:hyperlink>
                                    <w:r>
                                      <w:rPr>
                                        <w:rFonts w:ascii="Helvetica" w:hAnsi="Helvetica" w:cs="Helvetica"/>
                                        <w:color w:val="606060"/>
                                        <w:sz w:val="17"/>
                                        <w:szCs w:val="17"/>
                                      </w:rPr>
                                      <w:t xml:space="preserve">    </w:t>
                                    </w:r>
                                    <w:hyperlink r:id="rId8" w:history="1">
                                      <w:r>
                                        <w:rPr>
                                          <w:rStyle w:val="Hypertextovodkaz"/>
                                          <w:sz w:val="17"/>
                                          <w:szCs w:val="17"/>
                                        </w:rPr>
                                        <w:t>update subscription preferences</w:t>
                                      </w:r>
                                    </w:hyperlink>
                                    <w:r>
                                      <w:rPr>
                                        <w:rFonts w:ascii="Helvetica" w:hAnsi="Helvetica" w:cs="Helvetica"/>
                                        <w:color w:val="606060"/>
                                        <w:sz w:val="17"/>
                                        <w:szCs w:val="17"/>
                                      </w:rPr>
                                      <w:t> </w:t>
                                    </w:r>
                                  </w:p>
                                </w:tc>
                              </w:tr>
                            </w:tbl>
                            <w:p w:rsidR="006377FA" w:rsidRDefault="006377FA">
                              <w:pP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0"/>
                            <w:szCs w:val="20"/>
                          </w:rPr>
                        </w:pPr>
                      </w:p>
                    </w:tc>
                  </w:tr>
                </w:tbl>
                <w:p w:rsidR="006377FA" w:rsidRDefault="006377FA"/>
                <w:tbl>
                  <w:tblPr>
                    <w:tblW w:w="5000" w:type="pct"/>
                    <w:tblCellMar>
                      <w:left w:w="0" w:type="dxa"/>
                      <w:right w:w="0" w:type="dxa"/>
                    </w:tblCellMar>
                    <w:tblLook w:val="04A0" w:firstRow="1" w:lastRow="0" w:firstColumn="1" w:lastColumn="0" w:noHBand="0" w:noVBand="1"/>
                  </w:tblPr>
                  <w:tblGrid>
                    <w:gridCol w:w="9000"/>
                  </w:tblGrid>
                  <w:tr w:rsidR="006377F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377FA">
                          <w:trPr>
                            <w:jc w:val="center"/>
                          </w:trPr>
                          <w:tc>
                            <w:tcPr>
                              <w:tcW w:w="0" w:type="auto"/>
                              <w:tcMar>
                                <w:top w:w="0" w:type="dxa"/>
                                <w:left w:w="135" w:type="dxa"/>
                                <w:bottom w:w="0" w:type="dxa"/>
                                <w:right w:w="135" w:type="dxa"/>
                              </w:tcMar>
                              <w:vAlign w:val="center"/>
                              <w:hideMark/>
                            </w:tcPr>
                            <w:tbl>
                              <w:tblPr>
                                <w:tblW w:w="5000" w:type="pct"/>
                                <w:jc w:val="center"/>
                                <w:shd w:val="clear" w:color="auto" w:fill="CCCCCC"/>
                                <w:tblCellMar>
                                  <w:left w:w="0" w:type="dxa"/>
                                  <w:right w:w="0" w:type="dxa"/>
                                </w:tblCellMar>
                                <w:tblLook w:val="04A0" w:firstRow="1" w:lastRow="0" w:firstColumn="1" w:lastColumn="0" w:noHBand="0" w:noVBand="1"/>
                              </w:tblPr>
                              <w:tblGrid>
                                <w:gridCol w:w="8460"/>
                              </w:tblGrid>
                              <w:tr w:rsidR="006377FA">
                                <w:trPr>
                                  <w:jc w:val="center"/>
                                </w:trPr>
                                <w:tc>
                                  <w:tcPr>
                                    <w:tcW w:w="0" w:type="auto"/>
                                    <w:shd w:val="clear" w:color="auto" w:fill="CCCCCC"/>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60"/>
                                    </w:tblGrid>
                                    <w:tr w:rsidR="006377F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720"/>
                                          </w:tblGrid>
                                          <w:tr w:rsidR="006377F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6377FA">
                                                  <w:tc>
                                                    <w:tcPr>
                                                      <w:tcW w:w="0" w:type="auto"/>
                                                      <w:tcMar>
                                                        <w:top w:w="0" w:type="dxa"/>
                                                        <w:left w:w="0" w:type="dxa"/>
                                                        <w:bottom w:w="75" w:type="dxa"/>
                                                        <w:right w:w="150" w:type="dxa"/>
                                                      </w:tcMar>
                                                      <w:hideMark/>
                                                    </w:tcPr>
                                                    <w:p w:rsidR="006377FA" w:rsidRDefault="006377FA">
                                                      <w:pPr>
                                                        <w:jc w:val="center"/>
                                                      </w:pPr>
                                                      <w:r>
                                                        <w:rPr>
                                                          <w:noProof/>
                                                          <w:color w:val="0000FF"/>
                                                        </w:rPr>
                                                        <w:drawing>
                                                          <wp:inline distT="0" distB="0" distL="0" distR="0">
                                                            <wp:extent cx="457200" cy="457200"/>
                                                            <wp:effectExtent l="0" t="0" r="0" b="0"/>
                                                            <wp:docPr id="3" name="Obrázek 3" descr="Lik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377FA">
                                                  <w:tc>
                                                    <w:tcPr>
                                                      <w:tcW w:w="0" w:type="auto"/>
                                                      <w:tcMar>
                                                        <w:top w:w="0" w:type="dxa"/>
                                                        <w:left w:w="0" w:type="dxa"/>
                                                        <w:bottom w:w="135" w:type="dxa"/>
                                                        <w:right w:w="150" w:type="dxa"/>
                                                      </w:tcMar>
                                                      <w:hideMark/>
                                                    </w:tcPr>
                                                    <w:p w:rsidR="006377FA" w:rsidRDefault="006377FA">
                                                      <w:pPr>
                                                        <w:jc w:val="center"/>
                                                      </w:pPr>
                                                      <w:hyperlink r:id="rId11" w:tgtFrame="_blank" w:history="1">
                                                        <w:r>
                                                          <w:rPr>
                                                            <w:rStyle w:val="Hypertextovodkaz"/>
                                                            <w:rFonts w:ascii="Arial" w:hAnsi="Arial" w:cs="Arial"/>
                                                            <w:sz w:val="17"/>
                                                            <w:szCs w:val="17"/>
                                                          </w:rPr>
                                                          <w:t>Like</w:t>
                                                        </w:r>
                                                      </w:hyperlink>
                                                      <w:r>
                                                        <w:t xml:space="preserve"> </w:t>
                                                      </w:r>
                                                    </w:p>
                                                  </w:tc>
                                                </w:tr>
                                              </w:tbl>
                                              <w:p w:rsidR="006377FA" w:rsidRDefault="006377F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6377FA">
                                                  <w:tc>
                                                    <w:tcPr>
                                                      <w:tcW w:w="0" w:type="auto"/>
                                                      <w:tcMar>
                                                        <w:top w:w="0" w:type="dxa"/>
                                                        <w:left w:w="0" w:type="dxa"/>
                                                        <w:bottom w:w="75" w:type="dxa"/>
                                                        <w:right w:w="150" w:type="dxa"/>
                                                      </w:tcMar>
                                                      <w:hideMark/>
                                                    </w:tcPr>
                                                    <w:p w:rsidR="006377FA" w:rsidRDefault="006377FA">
                                                      <w:pPr>
                                                        <w:jc w:val="center"/>
                                                      </w:pPr>
                                                      <w:r>
                                                        <w:rPr>
                                                          <w:noProof/>
                                                          <w:color w:val="0000FF"/>
                                                        </w:rPr>
                                                        <w:drawing>
                                                          <wp:inline distT="0" distB="0" distL="0" distR="0">
                                                            <wp:extent cx="457200" cy="457200"/>
                                                            <wp:effectExtent l="0" t="0" r="0" b="0"/>
                                                            <wp:docPr id="2" name="Obrázek 2" descr="Follow">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377FA">
                                                  <w:tc>
                                                    <w:tcPr>
                                                      <w:tcW w:w="0" w:type="auto"/>
                                                      <w:tcMar>
                                                        <w:top w:w="0" w:type="dxa"/>
                                                        <w:left w:w="0" w:type="dxa"/>
                                                        <w:bottom w:w="135" w:type="dxa"/>
                                                        <w:right w:w="150" w:type="dxa"/>
                                                      </w:tcMar>
                                                      <w:hideMark/>
                                                    </w:tcPr>
                                                    <w:p w:rsidR="006377FA" w:rsidRDefault="006377FA">
                                                      <w:pPr>
                                                        <w:jc w:val="center"/>
                                                      </w:pPr>
                                                      <w:hyperlink r:id="rId14" w:tgtFrame="_blank" w:history="1">
                                                        <w:r>
                                                          <w:rPr>
                                                            <w:rStyle w:val="Hypertextovodkaz"/>
                                                            <w:rFonts w:ascii="Arial" w:hAnsi="Arial" w:cs="Arial"/>
                                                            <w:sz w:val="17"/>
                                                            <w:szCs w:val="17"/>
                                                          </w:rPr>
                                                          <w:t>Follow</w:t>
                                                        </w:r>
                                                      </w:hyperlink>
                                                      <w:r>
                                                        <w:t xml:space="preserve"> </w:t>
                                                      </w:r>
                                                    </w:p>
                                                  </w:tc>
                                                </w:tr>
                                              </w:tbl>
                                              <w:p w:rsidR="006377FA" w:rsidRDefault="006377F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6377FA">
                                                  <w:tc>
                                                    <w:tcPr>
                                                      <w:tcW w:w="0" w:type="auto"/>
                                                      <w:tcMar>
                                                        <w:top w:w="0" w:type="dxa"/>
                                                        <w:left w:w="0" w:type="dxa"/>
                                                        <w:bottom w:w="75" w:type="dxa"/>
                                                        <w:right w:w="0" w:type="dxa"/>
                                                      </w:tcMar>
                                                      <w:hideMark/>
                                                    </w:tcPr>
                                                    <w:p w:rsidR="006377FA" w:rsidRDefault="006377FA">
                                                      <w:pPr>
                                                        <w:jc w:val="center"/>
                                                      </w:pPr>
                                                      <w:r>
                                                        <w:rPr>
                                                          <w:noProof/>
                                                          <w:color w:val="0000FF"/>
                                                        </w:rPr>
                                                        <w:drawing>
                                                          <wp:inline distT="0" distB="0" distL="0" distR="0">
                                                            <wp:extent cx="457200" cy="457200"/>
                                                            <wp:effectExtent l="0" t="0" r="0" b="0"/>
                                                            <wp:docPr id="1" name="Obrázek 1" descr="Visi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377FA">
                                                  <w:tc>
                                                    <w:tcPr>
                                                      <w:tcW w:w="0" w:type="auto"/>
                                                      <w:tcMar>
                                                        <w:top w:w="0" w:type="dxa"/>
                                                        <w:left w:w="0" w:type="dxa"/>
                                                        <w:bottom w:w="135" w:type="dxa"/>
                                                        <w:right w:w="0" w:type="dxa"/>
                                                      </w:tcMar>
                                                      <w:hideMark/>
                                                    </w:tcPr>
                                                    <w:p w:rsidR="006377FA" w:rsidRDefault="006377FA">
                                                      <w:pPr>
                                                        <w:jc w:val="center"/>
                                                      </w:pPr>
                                                      <w:hyperlink r:id="rId17" w:tgtFrame="_blank" w:history="1">
                                                        <w:r>
                                                          <w:rPr>
                                                            <w:rStyle w:val="Hypertextovodkaz"/>
                                                            <w:rFonts w:ascii="Arial" w:hAnsi="Arial" w:cs="Arial"/>
                                                            <w:sz w:val="17"/>
                                                            <w:szCs w:val="17"/>
                                                          </w:rPr>
                                                          <w:t>Visit</w:t>
                                                        </w:r>
                                                      </w:hyperlink>
                                                      <w:r>
                                                        <w:t xml:space="preserve"> </w:t>
                                                      </w:r>
                                                    </w:p>
                                                  </w:tc>
                                                </w:tr>
                                              </w:tbl>
                                              <w:p w:rsidR="006377FA" w:rsidRDefault="006377FA">
                                                <w:pPr>
                                                  <w:rPr>
                                                    <w:rFonts w:ascii="Times New Roman" w:eastAsia="Times New Roman" w:hAnsi="Times New Roman" w:cs="Times New Roman"/>
                                                    <w:sz w:val="20"/>
                                                    <w:szCs w:val="20"/>
                                                  </w:rPr>
                                                </w:pPr>
                                              </w:p>
                                            </w:tc>
                                          </w:tr>
                                        </w:tbl>
                                        <w:p w:rsidR="006377FA" w:rsidRDefault="006377FA">
                                          <w:pPr>
                                            <w:jc w:val="center"/>
                                            <w:rPr>
                                              <w:rFonts w:ascii="Times New Roman" w:eastAsia="Times New Roman" w:hAnsi="Times New Roman" w:cs="Times New Roman"/>
                                              <w:sz w:val="20"/>
                                              <w:szCs w:val="20"/>
                                            </w:rPr>
                                          </w:pPr>
                                        </w:p>
                                      </w:tc>
                                    </w:tr>
                                  </w:tbl>
                                  <w:p w:rsidR="006377FA" w:rsidRDefault="006377FA">
                                    <w:pPr>
                                      <w:jc w:val="center"/>
                                      <w:rPr>
                                        <w:rFonts w:ascii="Times New Roman" w:eastAsia="Times New Roman" w:hAnsi="Times New Roman" w:cs="Times New Roman"/>
                                        <w:sz w:val="20"/>
                                        <w:szCs w:val="20"/>
                                      </w:rPr>
                                    </w:pPr>
                                  </w:p>
                                </w:tc>
                              </w:tr>
                            </w:tbl>
                            <w:p w:rsidR="006377FA" w:rsidRDefault="006377FA">
                              <w:pPr>
                                <w:jc w:val="center"/>
                                <w:rPr>
                                  <w:rFonts w:ascii="Times New Roman" w:eastAsia="Times New Roman" w:hAnsi="Times New Roman" w:cs="Times New Roman"/>
                                  <w:sz w:val="20"/>
                                  <w:szCs w:val="20"/>
                                </w:rPr>
                              </w:pPr>
                            </w:p>
                          </w:tc>
                        </w:tr>
                      </w:tbl>
                      <w:p w:rsidR="006377FA" w:rsidRDefault="006377FA">
                        <w:pPr>
                          <w:jc w:val="center"/>
                          <w:rPr>
                            <w:rFonts w:ascii="Times New Roman" w:eastAsia="Times New Roman" w:hAnsi="Times New Roman" w:cs="Times New Roman"/>
                            <w:sz w:val="20"/>
                            <w:szCs w:val="20"/>
                          </w:rPr>
                        </w:pPr>
                      </w:p>
                    </w:tc>
                  </w:tr>
                </w:tbl>
                <w:p w:rsidR="006377FA" w:rsidRDefault="006377FA">
                  <w:pPr>
                    <w:rPr>
                      <w:rFonts w:ascii="Times New Roman" w:eastAsia="Times New Roman" w:hAnsi="Times New Roman" w:cs="Times New Roman"/>
                      <w:sz w:val="24"/>
                      <w:szCs w:val="24"/>
                    </w:rPr>
                  </w:pPr>
                </w:p>
              </w:tc>
            </w:tr>
          </w:tbl>
          <w:p w:rsidR="006377FA" w:rsidRDefault="006377FA">
            <w:pPr>
              <w:jc w:val="center"/>
              <w:rPr>
                <w:rFonts w:ascii="Times New Roman" w:eastAsia="Times New Roman" w:hAnsi="Times New Roman" w:cs="Times New Roman"/>
                <w:sz w:val="20"/>
                <w:szCs w:val="20"/>
              </w:rPr>
            </w:pPr>
          </w:p>
        </w:tc>
      </w:tr>
    </w:tbl>
    <w:p w:rsidR="00234224" w:rsidRDefault="006377FA">
      <w:bookmarkStart w:id="0" w:name="_GoBack"/>
      <w:bookmarkEnd w:id="0"/>
    </w:p>
    <w:sectPr w:rsidR="0023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FA"/>
    <w:rsid w:val="004D1D1A"/>
    <w:rsid w:val="006377FA"/>
    <w:rsid w:val="00660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60EB-7E9F-46E3-AC2D-8CC5C884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77FA"/>
    <w:pPr>
      <w:spacing w:after="0" w:line="240" w:lineRule="auto"/>
    </w:pPr>
    <w:rPr>
      <w:rFonts w:ascii="Calibri" w:hAnsi="Calibri" w:cs="Calibri"/>
      <w:lang w:eastAsia="cs-CZ"/>
    </w:rPr>
  </w:style>
  <w:style w:type="paragraph" w:styleId="Nadpis3">
    <w:name w:val="heading 3"/>
    <w:basedOn w:val="Normln"/>
    <w:link w:val="Nadpis3Char"/>
    <w:uiPriority w:val="9"/>
    <w:semiHidden/>
    <w:unhideWhenUsed/>
    <w:qFormat/>
    <w:rsid w:val="006377FA"/>
    <w:pPr>
      <w:spacing w:line="300" w:lineRule="auto"/>
      <w:outlineLvl w:val="2"/>
    </w:pPr>
    <w:rPr>
      <w:rFonts w:ascii="Helvetica" w:hAnsi="Helvetica" w:cs="Helvetica"/>
      <w:b/>
      <w:bCs/>
      <w:color w:val="606060"/>
      <w:spacing w:val="-8"/>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6377FA"/>
    <w:rPr>
      <w:rFonts w:ascii="Helvetica" w:hAnsi="Helvetica" w:cs="Helvetica"/>
      <w:b/>
      <w:bCs/>
      <w:color w:val="606060"/>
      <w:spacing w:val="-8"/>
      <w:sz w:val="27"/>
      <w:szCs w:val="27"/>
      <w:lang w:eastAsia="cs-CZ"/>
    </w:rPr>
  </w:style>
  <w:style w:type="character" w:styleId="Hypertextovodkaz">
    <w:name w:val="Hyperlink"/>
    <w:basedOn w:val="Standardnpsmoodstavce"/>
    <w:uiPriority w:val="99"/>
    <w:semiHidden/>
    <w:unhideWhenUsed/>
    <w:rsid w:val="006377FA"/>
    <w:rPr>
      <w:color w:val="0000FF"/>
      <w:u w:val="single"/>
    </w:rPr>
  </w:style>
  <w:style w:type="character" w:customStyle="1" w:styleId="org">
    <w:name w:val="org"/>
    <w:basedOn w:val="Standardnpsmoodstavce"/>
    <w:rsid w:val="006377FA"/>
  </w:style>
  <w:style w:type="character" w:customStyle="1" w:styleId="locality">
    <w:name w:val="locality"/>
    <w:basedOn w:val="Standardnpsmoodstavce"/>
    <w:rsid w:val="006377FA"/>
  </w:style>
  <w:style w:type="character" w:customStyle="1" w:styleId="region">
    <w:name w:val="region"/>
    <w:basedOn w:val="Standardnpsmoodstavce"/>
    <w:rsid w:val="006377FA"/>
  </w:style>
  <w:style w:type="character" w:customStyle="1" w:styleId="postal-code">
    <w:name w:val="postal-code"/>
    <w:basedOn w:val="Standardnpsmoodstavce"/>
    <w:rsid w:val="006377FA"/>
  </w:style>
  <w:style w:type="character" w:styleId="Zdraznn">
    <w:name w:val="Emphasis"/>
    <w:basedOn w:val="Standardnpsmoodstavce"/>
    <w:uiPriority w:val="20"/>
    <w:qFormat/>
    <w:rsid w:val="006377FA"/>
    <w:rPr>
      <w:i/>
      <w:iCs/>
    </w:rPr>
  </w:style>
  <w:style w:type="character" w:styleId="Siln">
    <w:name w:val="Strong"/>
    <w:basedOn w:val="Standardnpsmoodstavce"/>
    <w:uiPriority w:val="22"/>
    <w:qFormat/>
    <w:rsid w:val="00637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a.us8.list-manage.com/profile?u=cf4422403808ba82123895442&amp;id=5cbc59de28&amp;e=7d52adec14"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sa.us8.list-manage.com/unsubscribe?u=cf4422403808ba82123895442&amp;id=5cbc59de28&amp;e=7d52adec14&amp;c=058b9962d0" TargetMode="External"/><Relationship Id="rId12" Type="http://schemas.openxmlformats.org/officeDocument/2006/relationships/hyperlink" Target="https://ausa.us8.list-manage.com/track/click?u=cf4422403808ba82123895442&amp;id=6525f38b8d&amp;e=7d52adec14" TargetMode="External"/><Relationship Id="rId17" Type="http://schemas.openxmlformats.org/officeDocument/2006/relationships/hyperlink" Target="https://ausa.us8.list-manage.com/track/click?u=cf4422403808ba82123895442&amp;id=7cf1368059&amp;e=7d52adec14"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file:///\\ausa.us8.list-manage.com\vcard%3fu=cf4422403808ba82123895442&amp;id=5cbc59de28" TargetMode="External"/><Relationship Id="rId11" Type="http://schemas.openxmlformats.org/officeDocument/2006/relationships/hyperlink" Target="https://ausa.us8.list-manage.com/track/click?u=cf4422403808ba82123895442&amp;id=f80469271c&amp;e=7d52adec14" TargetMode="External"/><Relationship Id="rId5" Type="http://schemas.openxmlformats.org/officeDocument/2006/relationships/hyperlink" Target="https://ausa.us8.list-manage.com/track/click?u=cf4422403808ba82123895442&amp;id=bd9c5dc2f3&amp;e=7d52adec14" TargetMode="External"/><Relationship Id="rId15" Type="http://schemas.openxmlformats.org/officeDocument/2006/relationships/hyperlink" Target="https://ausa.us8.list-manage.com/track/click?u=cf4422403808ba82123895442&amp;id=3f5d86cdd2&amp;e=7d52adec14"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usa.us8.list-manage.com/track/click?u=cf4422403808ba82123895442&amp;id=e1964820a7&amp;e=7d52adec14" TargetMode="External"/><Relationship Id="rId14" Type="http://schemas.openxmlformats.org/officeDocument/2006/relationships/hyperlink" Target="https://ausa.us8.list-manage.com/track/click?u=cf4422403808ba82123895442&amp;id=699c82deee&amp;e=7d52adec1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4701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Stejskalová</dc:creator>
  <cp:keywords/>
  <dc:description/>
  <cp:lastModifiedBy>Kristýna Stejskalová</cp:lastModifiedBy>
  <cp:revision>1</cp:revision>
  <dcterms:created xsi:type="dcterms:W3CDTF">2017-10-17T07:14:00Z</dcterms:created>
  <dcterms:modified xsi:type="dcterms:W3CDTF">2017-10-17T07:15:00Z</dcterms:modified>
</cp:coreProperties>
</file>