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1E" w:rsidRPr="00EF4994" w:rsidRDefault="00EF4994" w:rsidP="00EF4994">
      <w:pPr>
        <w:jc w:val="center"/>
        <w:rPr>
          <w:b/>
        </w:rPr>
      </w:pPr>
      <w:r w:rsidRPr="00EF4994">
        <w:rPr>
          <w:b/>
        </w:rPr>
        <w:t>WORKSHOP ON ACCESS TO FINANCE WITH THE EUROPEAN INVESTMENT BANK (</w:t>
      </w:r>
      <w:proofErr w:type="spellStart"/>
      <w:r w:rsidRPr="00EF4994">
        <w:rPr>
          <w:b/>
        </w:rPr>
        <w:t>EIB</w:t>
      </w:r>
      <w:proofErr w:type="spellEnd"/>
      <w:r w:rsidRPr="00EF4994">
        <w:rPr>
          <w:b/>
        </w:rPr>
        <w:t>) AND INDUSTRY REPRESENTATIVES</w:t>
      </w:r>
    </w:p>
    <w:p w:rsidR="00EF4994" w:rsidRPr="00EF4994" w:rsidRDefault="00EF4994" w:rsidP="00EF4994">
      <w:pPr>
        <w:jc w:val="center"/>
        <w:rPr>
          <w:b/>
        </w:rPr>
      </w:pPr>
      <w:r w:rsidRPr="00EF4994">
        <w:rPr>
          <w:b/>
        </w:rPr>
        <w:t>Zpráva z workshopu</w:t>
      </w:r>
    </w:p>
    <w:p w:rsidR="00EF4994" w:rsidRDefault="00EF4994"/>
    <w:p w:rsidR="00EF4994" w:rsidRDefault="00EF4994">
      <w:r>
        <w:t>Datum konání workshopu: 11. 07. 2017</w:t>
      </w:r>
    </w:p>
    <w:p w:rsidR="00EF4994" w:rsidRDefault="00EF4994" w:rsidP="00EF4994">
      <w:r>
        <w:t xml:space="preserve">Workshop </w:t>
      </w:r>
      <w:proofErr w:type="spellStart"/>
      <w:r>
        <w:t>chairman</w:t>
      </w:r>
      <w:proofErr w:type="spellEnd"/>
      <w:r>
        <w:t xml:space="preserve">: </w:t>
      </w:r>
      <w:proofErr w:type="spellStart"/>
      <w:r w:rsidR="001D30E3">
        <w:rPr>
          <w:rFonts w:ascii="Calibri" w:hAnsi="Calibri"/>
        </w:rPr>
        <w:t>Tarja</w:t>
      </w:r>
      <w:proofErr w:type="spellEnd"/>
      <w:r w:rsidR="001D30E3">
        <w:rPr>
          <w:rFonts w:ascii="Calibri" w:hAnsi="Calibri"/>
        </w:rPr>
        <w:t xml:space="preserve"> </w:t>
      </w:r>
      <w:proofErr w:type="spellStart"/>
      <w:r w:rsidR="001D30E3">
        <w:rPr>
          <w:rFonts w:ascii="Calibri" w:hAnsi="Calibri"/>
        </w:rPr>
        <w:t>Jaakkola</w:t>
      </w:r>
      <w:proofErr w:type="spellEnd"/>
      <w:r w:rsidR="001D30E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="001D30E3">
        <w:rPr>
          <w:rFonts w:ascii="Calibri" w:hAnsi="Calibri"/>
        </w:rPr>
        <w:t>(</w:t>
      </w:r>
      <w:r w:rsidR="001D30E3">
        <w:t>EDA</w:t>
      </w:r>
      <w:r>
        <w:t xml:space="preserve">, </w:t>
      </w:r>
      <w:proofErr w:type="spellStart"/>
      <w:r>
        <w:t>Deputy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European </w:t>
      </w:r>
      <w:proofErr w:type="spellStart"/>
      <w:r>
        <w:t>Synergies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Directorate</w:t>
      </w:r>
      <w:proofErr w:type="spellEnd"/>
      <w:r w:rsidR="001D30E3">
        <w:t>)</w:t>
      </w:r>
    </w:p>
    <w:p w:rsidR="00EF4994" w:rsidRDefault="00EF4994">
      <w:r>
        <w:t>Zpracoval: Miloš Blaškovan</w:t>
      </w:r>
      <w:r w:rsidR="001D30E3">
        <w:t xml:space="preserve"> (</w:t>
      </w:r>
      <w:proofErr w:type="spellStart"/>
      <w:r w:rsidR="001D30E3">
        <w:t>AOBP</w:t>
      </w:r>
      <w:proofErr w:type="spellEnd"/>
      <w:r w:rsidR="001D30E3">
        <w:t>)</w:t>
      </w:r>
    </w:p>
    <w:p w:rsidR="00EF4994" w:rsidRDefault="00EF4994"/>
    <w:p w:rsidR="00EF4994" w:rsidRPr="005155B7" w:rsidRDefault="00EF4994" w:rsidP="005155B7">
      <w:pPr>
        <w:pStyle w:val="Odstavecseseznamem"/>
        <w:numPr>
          <w:ilvl w:val="0"/>
          <w:numId w:val="3"/>
        </w:numPr>
        <w:ind w:left="0" w:firstLine="0"/>
        <w:rPr>
          <w:b/>
        </w:rPr>
      </w:pPr>
      <w:r w:rsidRPr="005155B7">
        <w:rPr>
          <w:b/>
        </w:rPr>
        <w:t xml:space="preserve">Představení </w:t>
      </w:r>
      <w:proofErr w:type="spellStart"/>
      <w:r w:rsidRPr="005155B7">
        <w:rPr>
          <w:b/>
        </w:rPr>
        <w:t>EIB</w:t>
      </w:r>
      <w:proofErr w:type="spellEnd"/>
    </w:p>
    <w:p w:rsidR="00EF4994" w:rsidRDefault="00EF4994">
      <w:r>
        <w:t>V úvodním představení Evropské investiční banky byly zmíněny/zdůrazněny tyto body:</w:t>
      </w:r>
    </w:p>
    <w:p w:rsidR="00EF4994" w:rsidRPr="005155B7" w:rsidRDefault="00EF4994" w:rsidP="005155B7">
      <w:pPr>
        <w:pStyle w:val="Odstavecseseznamem"/>
        <w:numPr>
          <w:ilvl w:val="0"/>
          <w:numId w:val="2"/>
        </w:numPr>
        <w:spacing w:after="0"/>
        <w:ind w:left="284" w:hanging="284"/>
        <w:textAlignment w:val="center"/>
      </w:pPr>
      <w:r w:rsidRPr="005155B7">
        <w:rPr>
          <w:rFonts w:ascii="Calibri" w:hAnsi="Calibri"/>
        </w:rPr>
        <w:t xml:space="preserve">Celkem banka poskytuje financování v objemu: </w:t>
      </w:r>
      <w:r w:rsidR="005155B7">
        <w:rPr>
          <w:rFonts w:ascii="Calibri" w:hAnsi="Calibri"/>
        </w:rPr>
        <w:t>€</w:t>
      </w:r>
      <w:r w:rsidRPr="005155B7">
        <w:rPr>
          <w:rFonts w:ascii="Calibri" w:hAnsi="Calibri"/>
        </w:rPr>
        <w:t xml:space="preserve"> </w:t>
      </w:r>
      <w:proofErr w:type="spellStart"/>
      <w:r w:rsidRPr="005155B7">
        <w:rPr>
          <w:rFonts w:ascii="Calibri" w:hAnsi="Calibri"/>
        </w:rPr>
        <w:t>83bn</w:t>
      </w:r>
      <w:proofErr w:type="spellEnd"/>
      <w:r w:rsidRPr="005155B7">
        <w:rPr>
          <w:rFonts w:ascii="Calibri" w:hAnsi="Calibri"/>
        </w:rPr>
        <w:t xml:space="preserve"> </w:t>
      </w:r>
    </w:p>
    <w:p w:rsidR="005155B7" w:rsidRDefault="005155B7" w:rsidP="005155B7">
      <w:pPr>
        <w:pStyle w:val="Odstavecseseznamem"/>
        <w:numPr>
          <w:ilvl w:val="0"/>
          <w:numId w:val="2"/>
        </w:numPr>
        <w:spacing w:after="0"/>
        <w:ind w:left="284" w:hanging="284"/>
        <w:textAlignment w:val="center"/>
        <w:rPr>
          <w:rFonts w:ascii="Calibri" w:hAnsi="Calibri"/>
        </w:rPr>
      </w:pPr>
      <w:r w:rsidRPr="005155B7">
        <w:rPr>
          <w:rFonts w:ascii="Calibri" w:hAnsi="Calibri"/>
        </w:rPr>
        <w:t>Financuje konkrétní projekty, nikoliv firmy obecně</w:t>
      </w:r>
    </w:p>
    <w:p w:rsidR="005155B7" w:rsidRPr="005155B7" w:rsidRDefault="005155B7" w:rsidP="005155B7">
      <w:pPr>
        <w:pStyle w:val="Odstavecseseznamem"/>
        <w:numPr>
          <w:ilvl w:val="0"/>
          <w:numId w:val="2"/>
        </w:numPr>
        <w:spacing w:after="0"/>
        <w:ind w:left="284" w:hanging="284"/>
        <w:textAlignment w:val="center"/>
        <w:rPr>
          <w:rFonts w:ascii="Calibri" w:hAnsi="Calibri"/>
        </w:rPr>
      </w:pPr>
      <w:r>
        <w:rPr>
          <w:rFonts w:ascii="Calibri" w:hAnsi="Calibri"/>
        </w:rPr>
        <w:t>Financuje</w:t>
      </w:r>
      <w:r w:rsidRPr="005155B7">
        <w:rPr>
          <w:rFonts w:ascii="Calibri" w:hAnsi="Calibri"/>
        </w:rPr>
        <w:t xml:space="preserve"> </w:t>
      </w:r>
      <w:r>
        <w:rPr>
          <w:rFonts w:ascii="Calibri" w:hAnsi="Calibri"/>
        </w:rPr>
        <w:t>projekty</w:t>
      </w:r>
      <w:r w:rsidRPr="005155B7">
        <w:rPr>
          <w:rFonts w:ascii="Calibri" w:hAnsi="Calibri"/>
        </w:rPr>
        <w:t xml:space="preserve"> v následujících 4 oblastech:</w:t>
      </w:r>
    </w:p>
    <w:p w:rsidR="005155B7" w:rsidRDefault="00EF4994" w:rsidP="005155B7">
      <w:pPr>
        <w:pStyle w:val="Odstavecseseznamem"/>
        <w:numPr>
          <w:ilvl w:val="1"/>
          <w:numId w:val="2"/>
        </w:numPr>
        <w:spacing w:after="0"/>
        <w:ind w:left="709" w:hanging="425"/>
        <w:textAlignment w:val="center"/>
        <w:rPr>
          <w:rFonts w:ascii="Calibri" w:hAnsi="Calibri"/>
        </w:rPr>
      </w:pPr>
      <w:proofErr w:type="spellStart"/>
      <w:r w:rsidRPr="005155B7">
        <w:rPr>
          <w:rFonts w:ascii="Calibri" w:hAnsi="Calibri"/>
          <w:i/>
        </w:rPr>
        <w:t>Environment</w:t>
      </w:r>
      <w:proofErr w:type="spellEnd"/>
      <w:r>
        <w:rPr>
          <w:rFonts w:ascii="Calibri" w:hAnsi="Calibri"/>
        </w:rPr>
        <w:t xml:space="preserve"> (</w:t>
      </w:r>
      <w:r w:rsidR="005155B7">
        <w:rPr>
          <w:rFonts w:ascii="Calibri" w:hAnsi="Calibri"/>
        </w:rPr>
        <w:t xml:space="preserve">€ </w:t>
      </w:r>
      <w:r>
        <w:rPr>
          <w:rFonts w:ascii="Calibri" w:hAnsi="Calibri"/>
        </w:rPr>
        <w:t>16,</w:t>
      </w:r>
      <w:proofErr w:type="spellStart"/>
      <w:r>
        <w:rPr>
          <w:rFonts w:ascii="Calibri" w:hAnsi="Calibri"/>
        </w:rPr>
        <w:t>9bn</w:t>
      </w:r>
      <w:proofErr w:type="spellEnd"/>
      <w:r>
        <w:rPr>
          <w:rFonts w:ascii="Calibri" w:hAnsi="Calibri"/>
        </w:rPr>
        <w:t>)</w:t>
      </w:r>
    </w:p>
    <w:p w:rsidR="005155B7" w:rsidRDefault="00EF4994" w:rsidP="005155B7">
      <w:pPr>
        <w:pStyle w:val="Odstavecseseznamem"/>
        <w:numPr>
          <w:ilvl w:val="1"/>
          <w:numId w:val="2"/>
        </w:numPr>
        <w:spacing w:after="0"/>
        <w:ind w:left="709" w:hanging="425"/>
        <w:textAlignment w:val="center"/>
        <w:rPr>
          <w:rFonts w:ascii="Calibri" w:hAnsi="Calibri"/>
        </w:rPr>
      </w:pPr>
      <w:proofErr w:type="spellStart"/>
      <w:r w:rsidRPr="005155B7">
        <w:rPr>
          <w:rFonts w:ascii="Calibri" w:hAnsi="Calibri"/>
          <w:i/>
        </w:rPr>
        <w:t>Infra</w:t>
      </w:r>
      <w:r w:rsidR="005155B7" w:rsidRPr="005155B7">
        <w:rPr>
          <w:rFonts w:ascii="Calibri" w:hAnsi="Calibri"/>
          <w:i/>
        </w:rPr>
        <w:t>structure</w:t>
      </w:r>
      <w:proofErr w:type="spellEnd"/>
      <w:r>
        <w:rPr>
          <w:rFonts w:ascii="Calibri" w:hAnsi="Calibri"/>
        </w:rPr>
        <w:t xml:space="preserve"> (</w:t>
      </w:r>
      <w:r w:rsidR="005155B7">
        <w:rPr>
          <w:rFonts w:ascii="Calibri" w:hAnsi="Calibri"/>
        </w:rPr>
        <w:t xml:space="preserve">€ </w:t>
      </w:r>
      <w:r>
        <w:rPr>
          <w:rFonts w:ascii="Calibri" w:hAnsi="Calibri"/>
        </w:rPr>
        <w:t>19,</w:t>
      </w:r>
      <w:proofErr w:type="spellStart"/>
      <w:r>
        <w:rPr>
          <w:rFonts w:ascii="Calibri" w:hAnsi="Calibri"/>
        </w:rPr>
        <w:t>7bn</w:t>
      </w:r>
      <w:proofErr w:type="spellEnd"/>
      <w:r>
        <w:rPr>
          <w:rFonts w:ascii="Calibri" w:hAnsi="Calibri"/>
        </w:rPr>
        <w:t>)</w:t>
      </w:r>
    </w:p>
    <w:p w:rsidR="005155B7" w:rsidRDefault="00EF4994" w:rsidP="005155B7">
      <w:pPr>
        <w:pStyle w:val="Odstavecseseznamem"/>
        <w:numPr>
          <w:ilvl w:val="1"/>
          <w:numId w:val="2"/>
        </w:numPr>
        <w:spacing w:after="0"/>
        <w:ind w:left="709" w:hanging="425"/>
        <w:textAlignment w:val="center"/>
        <w:rPr>
          <w:rFonts w:ascii="Calibri" w:hAnsi="Calibri"/>
        </w:rPr>
      </w:pPr>
      <w:proofErr w:type="spellStart"/>
      <w:r>
        <w:rPr>
          <w:rFonts w:ascii="Calibri" w:hAnsi="Calibri"/>
        </w:rPr>
        <w:t>Innovation</w:t>
      </w:r>
      <w:proofErr w:type="spellEnd"/>
      <w:r>
        <w:rPr>
          <w:rFonts w:ascii="Calibri" w:hAnsi="Calibri"/>
        </w:rPr>
        <w:t>  (</w:t>
      </w:r>
      <w:r w:rsidR="005155B7">
        <w:rPr>
          <w:rFonts w:ascii="Calibri" w:hAnsi="Calibri"/>
        </w:rPr>
        <w:t xml:space="preserve">€ </w:t>
      </w:r>
      <w:r>
        <w:rPr>
          <w:rFonts w:ascii="Calibri" w:hAnsi="Calibri"/>
        </w:rPr>
        <w:t>13,</w:t>
      </w:r>
      <w:proofErr w:type="spellStart"/>
      <w:r>
        <w:rPr>
          <w:rFonts w:ascii="Calibri" w:hAnsi="Calibri"/>
        </w:rPr>
        <w:t>5bn</w:t>
      </w:r>
      <w:proofErr w:type="spellEnd"/>
      <w:r>
        <w:rPr>
          <w:rFonts w:ascii="Calibri" w:hAnsi="Calibri"/>
        </w:rPr>
        <w:t xml:space="preserve">) </w:t>
      </w:r>
      <w:r w:rsidR="005155B7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5155B7">
        <w:rPr>
          <w:rFonts w:ascii="Calibri" w:hAnsi="Calibri"/>
        </w:rPr>
        <w:t xml:space="preserve">přímé financování ze strany </w:t>
      </w:r>
      <w:proofErr w:type="spellStart"/>
      <w:r w:rsidR="005155B7">
        <w:rPr>
          <w:rFonts w:ascii="Calibri" w:hAnsi="Calibri"/>
        </w:rPr>
        <w:t>EIB</w:t>
      </w:r>
      <w:proofErr w:type="spellEnd"/>
      <w:r w:rsidR="005155B7">
        <w:rPr>
          <w:rFonts w:ascii="Calibri" w:hAnsi="Calibri"/>
        </w:rPr>
        <w:t>, zejména pro střední a větší firmy (od 250 zaměstnanců do 3.000 a nad 3.000 zaměstnanců); dlouhodobé financování</w:t>
      </w:r>
      <w:r>
        <w:rPr>
          <w:rFonts w:ascii="Calibri" w:hAnsi="Calibri"/>
        </w:rPr>
        <w:t xml:space="preserve"> </w:t>
      </w:r>
    </w:p>
    <w:p w:rsidR="00EF4994" w:rsidRPr="005155B7" w:rsidRDefault="00EF4994" w:rsidP="005155B7">
      <w:pPr>
        <w:pStyle w:val="Odstavecseseznamem"/>
        <w:numPr>
          <w:ilvl w:val="1"/>
          <w:numId w:val="2"/>
        </w:numPr>
        <w:spacing w:after="0"/>
        <w:ind w:left="709" w:hanging="425"/>
        <w:textAlignment w:val="center"/>
        <w:rPr>
          <w:rFonts w:ascii="Calibri" w:hAnsi="Calibri"/>
        </w:rPr>
      </w:pPr>
      <w:proofErr w:type="spellStart"/>
      <w:r>
        <w:rPr>
          <w:rFonts w:ascii="Calibri" w:hAnsi="Calibri"/>
        </w:rPr>
        <w:t>SMEs</w:t>
      </w:r>
      <w:proofErr w:type="spellEnd"/>
      <w:r>
        <w:rPr>
          <w:rFonts w:ascii="Calibri" w:hAnsi="Calibri"/>
        </w:rPr>
        <w:t xml:space="preserve"> (</w:t>
      </w:r>
      <w:r w:rsidR="005155B7">
        <w:rPr>
          <w:rFonts w:ascii="Calibri" w:hAnsi="Calibri"/>
        </w:rPr>
        <w:t xml:space="preserve">€ </w:t>
      </w:r>
      <w:r>
        <w:rPr>
          <w:rFonts w:ascii="Calibri" w:hAnsi="Calibri"/>
        </w:rPr>
        <w:t>33,</w:t>
      </w:r>
      <w:proofErr w:type="spellStart"/>
      <w:r>
        <w:rPr>
          <w:rFonts w:ascii="Calibri" w:hAnsi="Calibri"/>
        </w:rPr>
        <w:t>6bn</w:t>
      </w:r>
      <w:proofErr w:type="spellEnd"/>
      <w:r>
        <w:rPr>
          <w:rFonts w:ascii="Calibri" w:hAnsi="Calibri"/>
        </w:rPr>
        <w:t xml:space="preserve">) </w:t>
      </w:r>
      <w:r w:rsidR="005155B7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5155B7">
        <w:rPr>
          <w:rFonts w:ascii="Calibri" w:hAnsi="Calibri"/>
        </w:rPr>
        <w:t>financování prostřednictvím partnerských bank v jednotlivých zemích</w:t>
      </w:r>
    </w:p>
    <w:p w:rsidR="005155B7" w:rsidRDefault="005155B7" w:rsidP="005155B7">
      <w:pPr>
        <w:pStyle w:val="Odstavecseseznamem"/>
        <w:spacing w:after="0"/>
        <w:ind w:left="284"/>
        <w:textAlignment w:val="center"/>
        <w:rPr>
          <w:rFonts w:ascii="Calibri" w:hAnsi="Calibri"/>
        </w:rPr>
      </w:pPr>
    </w:p>
    <w:p w:rsidR="00EF4994" w:rsidRPr="005155B7" w:rsidRDefault="005155B7" w:rsidP="005155B7">
      <w:pPr>
        <w:pStyle w:val="Odstavecseseznamem"/>
        <w:numPr>
          <w:ilvl w:val="0"/>
          <w:numId w:val="2"/>
        </w:numPr>
        <w:spacing w:after="0"/>
        <w:ind w:left="284" w:hanging="284"/>
        <w:textAlignment w:val="center"/>
        <w:rPr>
          <w:rFonts w:ascii="Calibri" w:hAnsi="Calibri"/>
        </w:rPr>
      </w:pPr>
      <w:r>
        <w:rPr>
          <w:rFonts w:ascii="Calibri" w:hAnsi="Calibri"/>
        </w:rPr>
        <w:t>Vyloučené sektory (</w:t>
      </w:r>
      <w:r w:rsidRPr="005155B7">
        <w:rPr>
          <w:rFonts w:ascii="Calibri" w:hAnsi="Calibri"/>
          <w:b/>
          <w:i/>
        </w:rPr>
        <w:t xml:space="preserve">hlavní problém </w:t>
      </w:r>
      <w:proofErr w:type="spellStart"/>
      <w:r w:rsidRPr="005155B7">
        <w:rPr>
          <w:rFonts w:ascii="Calibri" w:hAnsi="Calibri"/>
          <w:b/>
          <w:i/>
        </w:rPr>
        <w:t>EIB</w:t>
      </w:r>
      <w:proofErr w:type="spellEnd"/>
      <w:r w:rsidRPr="005155B7">
        <w:rPr>
          <w:rFonts w:ascii="Calibri" w:hAnsi="Calibri"/>
          <w:b/>
          <w:i/>
        </w:rPr>
        <w:t xml:space="preserve"> a všech jejich programů</w:t>
      </w:r>
      <w:r>
        <w:rPr>
          <w:rFonts w:ascii="Calibri" w:hAnsi="Calibri"/>
        </w:rPr>
        <w:t>)</w:t>
      </w:r>
      <w:r w:rsidR="00EF4994">
        <w:rPr>
          <w:rFonts w:ascii="Calibri" w:hAnsi="Calibri"/>
        </w:rPr>
        <w:t>:</w:t>
      </w:r>
    </w:p>
    <w:p w:rsidR="00EF4994" w:rsidRPr="005155B7" w:rsidRDefault="00EF4994" w:rsidP="005155B7">
      <w:pPr>
        <w:pStyle w:val="Odstavecseseznamem"/>
        <w:numPr>
          <w:ilvl w:val="1"/>
          <w:numId w:val="2"/>
        </w:numPr>
        <w:spacing w:after="0"/>
        <w:ind w:left="709" w:hanging="425"/>
        <w:textAlignment w:val="center"/>
        <w:rPr>
          <w:rFonts w:ascii="Calibri" w:hAnsi="Calibri"/>
          <w:i/>
        </w:rPr>
      </w:pPr>
      <w:proofErr w:type="spellStart"/>
      <w:r w:rsidRPr="005155B7">
        <w:rPr>
          <w:rFonts w:ascii="Calibri" w:hAnsi="Calibri"/>
          <w:i/>
        </w:rPr>
        <w:t>Ammunition</w:t>
      </w:r>
      <w:proofErr w:type="spellEnd"/>
      <w:r w:rsidRPr="005155B7">
        <w:rPr>
          <w:rFonts w:ascii="Calibri" w:hAnsi="Calibri"/>
          <w:i/>
        </w:rPr>
        <w:t xml:space="preserve"> </w:t>
      </w:r>
      <w:proofErr w:type="spellStart"/>
      <w:r w:rsidRPr="005155B7">
        <w:rPr>
          <w:rFonts w:ascii="Calibri" w:hAnsi="Calibri"/>
          <w:i/>
        </w:rPr>
        <w:t>and</w:t>
      </w:r>
      <w:proofErr w:type="spellEnd"/>
      <w:r w:rsidRPr="005155B7">
        <w:rPr>
          <w:rFonts w:ascii="Calibri" w:hAnsi="Calibri"/>
          <w:i/>
        </w:rPr>
        <w:t xml:space="preserve"> </w:t>
      </w:r>
      <w:proofErr w:type="spellStart"/>
      <w:r w:rsidRPr="005155B7">
        <w:rPr>
          <w:rFonts w:ascii="Calibri" w:hAnsi="Calibri"/>
          <w:i/>
        </w:rPr>
        <w:t>weapons</w:t>
      </w:r>
      <w:proofErr w:type="spellEnd"/>
    </w:p>
    <w:p w:rsidR="00EF4994" w:rsidRPr="005155B7" w:rsidRDefault="00EF4994" w:rsidP="005155B7">
      <w:pPr>
        <w:pStyle w:val="Odstavecseseznamem"/>
        <w:numPr>
          <w:ilvl w:val="1"/>
          <w:numId w:val="2"/>
        </w:numPr>
        <w:spacing w:after="0"/>
        <w:ind w:left="709" w:hanging="425"/>
        <w:textAlignment w:val="center"/>
        <w:rPr>
          <w:rFonts w:ascii="Calibri" w:hAnsi="Calibri"/>
          <w:i/>
        </w:rPr>
      </w:pPr>
      <w:proofErr w:type="spellStart"/>
      <w:r w:rsidRPr="005155B7">
        <w:rPr>
          <w:rFonts w:ascii="Calibri" w:hAnsi="Calibri"/>
          <w:i/>
        </w:rPr>
        <w:t>Military</w:t>
      </w:r>
      <w:proofErr w:type="spellEnd"/>
      <w:r w:rsidRPr="005155B7">
        <w:rPr>
          <w:rFonts w:ascii="Calibri" w:hAnsi="Calibri"/>
          <w:i/>
        </w:rPr>
        <w:t xml:space="preserve">/police </w:t>
      </w:r>
      <w:proofErr w:type="spellStart"/>
      <w:r w:rsidRPr="005155B7">
        <w:rPr>
          <w:rFonts w:ascii="Calibri" w:hAnsi="Calibri"/>
          <w:i/>
        </w:rPr>
        <w:t>equipment</w:t>
      </w:r>
      <w:proofErr w:type="spellEnd"/>
      <w:r w:rsidRPr="005155B7">
        <w:rPr>
          <w:rFonts w:ascii="Calibri" w:hAnsi="Calibri"/>
          <w:i/>
        </w:rPr>
        <w:t xml:space="preserve"> </w:t>
      </w:r>
      <w:proofErr w:type="spellStart"/>
      <w:r w:rsidRPr="005155B7">
        <w:rPr>
          <w:rFonts w:ascii="Calibri" w:hAnsi="Calibri"/>
          <w:i/>
        </w:rPr>
        <w:t>and</w:t>
      </w:r>
      <w:proofErr w:type="spellEnd"/>
      <w:r w:rsidRPr="005155B7">
        <w:rPr>
          <w:rFonts w:ascii="Calibri" w:hAnsi="Calibri"/>
          <w:i/>
        </w:rPr>
        <w:t xml:space="preserve"> </w:t>
      </w:r>
      <w:proofErr w:type="spellStart"/>
      <w:r w:rsidRPr="005155B7">
        <w:rPr>
          <w:rFonts w:ascii="Calibri" w:hAnsi="Calibri"/>
          <w:i/>
        </w:rPr>
        <w:t>infrastructure</w:t>
      </w:r>
      <w:proofErr w:type="spellEnd"/>
    </w:p>
    <w:p w:rsidR="00EF4994" w:rsidRDefault="00EF4994" w:rsidP="00EF4994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EF4994" w:rsidRPr="005155B7" w:rsidRDefault="005155B7" w:rsidP="005155B7">
      <w:pPr>
        <w:pStyle w:val="Odstavecseseznamem"/>
        <w:numPr>
          <w:ilvl w:val="0"/>
          <w:numId w:val="2"/>
        </w:numPr>
        <w:spacing w:after="0"/>
        <w:ind w:left="284" w:hanging="284"/>
        <w:textAlignment w:val="center"/>
        <w:rPr>
          <w:rFonts w:ascii="Calibri" w:hAnsi="Calibri"/>
        </w:rPr>
      </w:pPr>
      <w:r>
        <w:rPr>
          <w:rFonts w:ascii="Calibri" w:hAnsi="Calibri"/>
        </w:rPr>
        <w:t xml:space="preserve">Oblasti </w:t>
      </w:r>
      <w:proofErr w:type="spellStart"/>
      <w:r>
        <w:rPr>
          <w:rFonts w:ascii="Calibri" w:hAnsi="Calibri"/>
        </w:rPr>
        <w:t>Defence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and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Security</w:t>
      </w:r>
      <w:proofErr w:type="spellEnd"/>
      <w:r>
        <w:rPr>
          <w:rFonts w:ascii="Calibri" w:hAnsi="Calibri"/>
        </w:rPr>
        <w:t xml:space="preserve">, ve kterých </w:t>
      </w:r>
      <w:proofErr w:type="spellStart"/>
      <w:r>
        <w:rPr>
          <w:rFonts w:ascii="Calibri" w:hAnsi="Calibri"/>
        </w:rPr>
        <w:t>EIB</w:t>
      </w:r>
      <w:proofErr w:type="spellEnd"/>
      <w:r>
        <w:rPr>
          <w:rFonts w:ascii="Calibri" w:hAnsi="Calibri"/>
        </w:rPr>
        <w:t xml:space="preserve"> již financovala projekty mezi léty </w:t>
      </w:r>
      <w:r w:rsidR="00EF4994">
        <w:rPr>
          <w:rFonts w:ascii="Calibri" w:hAnsi="Calibri"/>
        </w:rPr>
        <w:t xml:space="preserve">2001 </w:t>
      </w:r>
      <w:proofErr w:type="spellStart"/>
      <w:r w:rsidR="00EF4994">
        <w:rPr>
          <w:rFonts w:ascii="Calibri" w:hAnsi="Calibri"/>
        </w:rPr>
        <w:t>and</w:t>
      </w:r>
      <w:proofErr w:type="spellEnd"/>
      <w:r w:rsidR="00EF4994">
        <w:rPr>
          <w:rFonts w:ascii="Calibri" w:hAnsi="Calibri"/>
        </w:rPr>
        <w:t xml:space="preserve"> 2016</w:t>
      </w:r>
      <w:r>
        <w:rPr>
          <w:rFonts w:ascii="Calibri" w:hAnsi="Calibri"/>
        </w:rPr>
        <w:t xml:space="preserve"> v celkovém objemu € </w:t>
      </w:r>
      <w:proofErr w:type="spellStart"/>
      <w:r>
        <w:rPr>
          <w:rFonts w:ascii="Calibri" w:hAnsi="Calibri"/>
        </w:rPr>
        <w:t>6bn</w:t>
      </w:r>
      <w:proofErr w:type="spellEnd"/>
    </w:p>
    <w:p w:rsidR="00EF4994" w:rsidRPr="005155B7" w:rsidRDefault="00EF4994" w:rsidP="005155B7">
      <w:pPr>
        <w:pStyle w:val="Odstavecseseznamem"/>
        <w:numPr>
          <w:ilvl w:val="1"/>
          <w:numId w:val="2"/>
        </w:numPr>
        <w:spacing w:after="0"/>
        <w:ind w:left="709" w:hanging="425"/>
        <w:textAlignment w:val="center"/>
        <w:rPr>
          <w:rFonts w:ascii="Calibri" w:hAnsi="Calibri"/>
          <w:i/>
        </w:rPr>
      </w:pPr>
      <w:proofErr w:type="spellStart"/>
      <w:r w:rsidRPr="005155B7">
        <w:rPr>
          <w:rFonts w:ascii="Calibri" w:hAnsi="Calibri"/>
          <w:i/>
        </w:rPr>
        <w:t>Civilian</w:t>
      </w:r>
      <w:proofErr w:type="spellEnd"/>
      <w:r w:rsidRPr="005155B7">
        <w:rPr>
          <w:rFonts w:ascii="Calibri" w:hAnsi="Calibri"/>
          <w:i/>
        </w:rPr>
        <w:t xml:space="preserve"> R&amp;D</w:t>
      </w:r>
    </w:p>
    <w:p w:rsidR="00EF4994" w:rsidRPr="005155B7" w:rsidRDefault="00EF4994" w:rsidP="005155B7">
      <w:pPr>
        <w:pStyle w:val="Odstavecseseznamem"/>
        <w:numPr>
          <w:ilvl w:val="1"/>
          <w:numId w:val="2"/>
        </w:numPr>
        <w:spacing w:after="0"/>
        <w:ind w:left="709" w:hanging="425"/>
        <w:textAlignment w:val="center"/>
        <w:rPr>
          <w:rFonts w:ascii="Calibri" w:hAnsi="Calibri"/>
          <w:i/>
        </w:rPr>
      </w:pPr>
      <w:proofErr w:type="spellStart"/>
      <w:r w:rsidRPr="005155B7">
        <w:rPr>
          <w:rFonts w:ascii="Calibri" w:hAnsi="Calibri"/>
          <w:i/>
        </w:rPr>
        <w:t>Dual</w:t>
      </w:r>
      <w:proofErr w:type="spellEnd"/>
      <w:r w:rsidRPr="005155B7">
        <w:rPr>
          <w:rFonts w:ascii="Calibri" w:hAnsi="Calibri"/>
          <w:i/>
        </w:rPr>
        <w:t xml:space="preserve"> use </w:t>
      </w:r>
      <w:proofErr w:type="spellStart"/>
      <w:r w:rsidRPr="005155B7">
        <w:rPr>
          <w:rFonts w:ascii="Calibri" w:hAnsi="Calibri"/>
          <w:i/>
        </w:rPr>
        <w:t>technologies</w:t>
      </w:r>
      <w:proofErr w:type="spellEnd"/>
      <w:r w:rsidRPr="005155B7">
        <w:rPr>
          <w:rFonts w:ascii="Calibri" w:hAnsi="Calibri"/>
          <w:i/>
        </w:rPr>
        <w:t xml:space="preserve">: </w:t>
      </w:r>
      <w:r w:rsidR="005155B7" w:rsidRPr="005155B7">
        <w:rPr>
          <w:rFonts w:ascii="Calibri" w:hAnsi="Calibri"/>
        </w:rPr>
        <w:t>financování možné pouze</w:t>
      </w:r>
      <w:r w:rsidR="005155B7">
        <w:rPr>
          <w:rFonts w:ascii="Calibri" w:hAnsi="Calibri"/>
        </w:rPr>
        <w:t xml:space="preserve"> pokud náklady a výnosy financovaného projektu </w:t>
      </w:r>
      <w:r w:rsidR="006E0F86">
        <w:rPr>
          <w:rFonts w:ascii="Calibri" w:hAnsi="Calibri"/>
        </w:rPr>
        <w:t xml:space="preserve">jsou </w:t>
      </w:r>
      <w:r w:rsidR="005155B7">
        <w:rPr>
          <w:rFonts w:ascii="Calibri" w:hAnsi="Calibri"/>
        </w:rPr>
        <w:t xml:space="preserve">víc jak 50% v civilním sektoru </w:t>
      </w:r>
    </w:p>
    <w:p w:rsidR="00EF4994" w:rsidRDefault="00EF4994" w:rsidP="005155B7">
      <w:pPr>
        <w:pStyle w:val="Odstavecseseznamem"/>
        <w:numPr>
          <w:ilvl w:val="1"/>
          <w:numId w:val="2"/>
        </w:numPr>
        <w:spacing w:after="0"/>
        <w:ind w:left="709" w:hanging="425"/>
        <w:textAlignment w:val="center"/>
        <w:rPr>
          <w:rFonts w:ascii="Calibri" w:hAnsi="Calibri"/>
          <w:i/>
        </w:rPr>
      </w:pPr>
      <w:proofErr w:type="spellStart"/>
      <w:r w:rsidRPr="005155B7">
        <w:rPr>
          <w:rFonts w:ascii="Calibri" w:hAnsi="Calibri"/>
          <w:i/>
        </w:rPr>
        <w:t>Cybersecurity</w:t>
      </w:r>
      <w:proofErr w:type="spellEnd"/>
    </w:p>
    <w:p w:rsidR="005155B7" w:rsidRDefault="005155B7" w:rsidP="005155B7">
      <w:pPr>
        <w:pStyle w:val="Odstavecseseznamem"/>
        <w:spacing w:after="0"/>
        <w:ind w:left="709"/>
        <w:textAlignment w:val="center"/>
        <w:rPr>
          <w:rFonts w:ascii="Calibri" w:hAnsi="Calibri"/>
          <w:i/>
        </w:rPr>
      </w:pPr>
    </w:p>
    <w:p w:rsidR="009656C9" w:rsidRDefault="005155B7" w:rsidP="005155B7">
      <w:pPr>
        <w:spacing w:after="0"/>
        <w:textAlignment w:val="center"/>
        <w:rPr>
          <w:rFonts w:ascii="Calibri" w:hAnsi="Calibri"/>
        </w:rPr>
      </w:pPr>
      <w:r w:rsidRPr="006E0F86">
        <w:rPr>
          <w:rFonts w:ascii="Calibri" w:hAnsi="Calibri"/>
          <w:i/>
        </w:rPr>
        <w:t>Diskuse</w:t>
      </w:r>
      <w:r>
        <w:rPr>
          <w:rFonts w:ascii="Calibri" w:hAnsi="Calibri"/>
        </w:rPr>
        <w:t xml:space="preserve">: </w:t>
      </w:r>
    </w:p>
    <w:p w:rsidR="009656C9" w:rsidRDefault="005155B7" w:rsidP="009656C9">
      <w:pPr>
        <w:pStyle w:val="Odstavecseseznamem"/>
        <w:numPr>
          <w:ilvl w:val="0"/>
          <w:numId w:val="2"/>
        </w:numPr>
        <w:spacing w:after="0"/>
        <w:ind w:left="284" w:hanging="284"/>
        <w:textAlignment w:val="center"/>
        <w:rPr>
          <w:rFonts w:ascii="Calibri" w:hAnsi="Calibri"/>
        </w:rPr>
      </w:pPr>
      <w:r w:rsidRPr="009656C9">
        <w:rPr>
          <w:rFonts w:ascii="Calibri" w:hAnsi="Calibri"/>
        </w:rPr>
        <w:t xml:space="preserve">Ze strany zástupců průmyslu kritizovány zejména odvětví, které jsou vyloučeny z financování. Významně to snižuje možnost využití nástrojů </w:t>
      </w:r>
      <w:proofErr w:type="spellStart"/>
      <w:r w:rsidRPr="009656C9">
        <w:rPr>
          <w:rFonts w:ascii="Calibri" w:hAnsi="Calibri"/>
        </w:rPr>
        <w:t>EIB</w:t>
      </w:r>
      <w:proofErr w:type="spellEnd"/>
      <w:r w:rsidRPr="009656C9">
        <w:rPr>
          <w:rFonts w:ascii="Calibri" w:hAnsi="Calibri"/>
        </w:rPr>
        <w:t xml:space="preserve"> většinou firem v</w:t>
      </w:r>
      <w:r w:rsidR="006E0F86" w:rsidRPr="009656C9">
        <w:rPr>
          <w:rFonts w:ascii="Calibri" w:hAnsi="Calibri"/>
        </w:rPr>
        <w:t> </w:t>
      </w:r>
      <w:r w:rsidRPr="009656C9">
        <w:rPr>
          <w:rFonts w:ascii="Calibri" w:hAnsi="Calibri"/>
        </w:rPr>
        <w:t>odvětví</w:t>
      </w:r>
      <w:r w:rsidR="006E0F86" w:rsidRPr="009656C9">
        <w:rPr>
          <w:rFonts w:ascii="Calibri" w:hAnsi="Calibri"/>
        </w:rPr>
        <w:t xml:space="preserve">. </w:t>
      </w:r>
    </w:p>
    <w:p w:rsidR="005155B7" w:rsidRDefault="006E0F86" w:rsidP="009656C9">
      <w:pPr>
        <w:pStyle w:val="Odstavecseseznamem"/>
        <w:numPr>
          <w:ilvl w:val="0"/>
          <w:numId w:val="2"/>
        </w:numPr>
        <w:spacing w:after="0"/>
        <w:ind w:left="284" w:hanging="284"/>
        <w:textAlignment w:val="center"/>
        <w:rPr>
          <w:rFonts w:ascii="Calibri" w:hAnsi="Calibri"/>
        </w:rPr>
      </w:pPr>
      <w:r w:rsidRPr="009656C9">
        <w:rPr>
          <w:rFonts w:ascii="Calibri" w:hAnsi="Calibri"/>
        </w:rPr>
        <w:t xml:space="preserve">Obecně </w:t>
      </w:r>
      <w:r w:rsidR="009656C9">
        <w:rPr>
          <w:rFonts w:ascii="Calibri" w:hAnsi="Calibri"/>
        </w:rPr>
        <w:t xml:space="preserve">je toto vyloučení </w:t>
      </w:r>
      <w:r w:rsidRPr="009656C9">
        <w:rPr>
          <w:rFonts w:ascii="Calibri" w:hAnsi="Calibri"/>
        </w:rPr>
        <w:t xml:space="preserve">vnímáno jako politický problém EU a </w:t>
      </w:r>
      <w:r w:rsidR="009656C9">
        <w:rPr>
          <w:rFonts w:ascii="Calibri" w:hAnsi="Calibri"/>
        </w:rPr>
        <w:t xml:space="preserve">nevhodné nastavení strategie </w:t>
      </w:r>
      <w:proofErr w:type="spellStart"/>
      <w:r w:rsidR="009656C9">
        <w:rPr>
          <w:rFonts w:ascii="Calibri" w:hAnsi="Calibri"/>
        </w:rPr>
        <w:t>EIB</w:t>
      </w:r>
      <w:proofErr w:type="spellEnd"/>
      <w:r w:rsidR="009656C9">
        <w:rPr>
          <w:rFonts w:ascii="Calibri" w:hAnsi="Calibri"/>
        </w:rPr>
        <w:t>, která</w:t>
      </w:r>
      <w:r w:rsidRPr="009656C9">
        <w:rPr>
          <w:rFonts w:ascii="Calibri" w:hAnsi="Calibri"/>
        </w:rPr>
        <w:t xml:space="preserve"> se </w:t>
      </w:r>
      <w:r w:rsidR="009656C9">
        <w:rPr>
          <w:rFonts w:ascii="Calibri" w:hAnsi="Calibri"/>
        </w:rPr>
        <w:t xml:space="preserve">pak </w:t>
      </w:r>
      <w:r w:rsidRPr="009656C9">
        <w:rPr>
          <w:rFonts w:ascii="Calibri" w:hAnsi="Calibri"/>
        </w:rPr>
        <w:t xml:space="preserve">promítá do </w:t>
      </w:r>
      <w:r w:rsidR="009656C9">
        <w:rPr>
          <w:rFonts w:ascii="Calibri" w:hAnsi="Calibri"/>
        </w:rPr>
        <w:t xml:space="preserve">strategie </w:t>
      </w:r>
      <w:r w:rsidRPr="009656C9">
        <w:rPr>
          <w:rFonts w:ascii="Calibri" w:hAnsi="Calibri"/>
        </w:rPr>
        <w:t>všech komerčních bank v EU.</w:t>
      </w:r>
    </w:p>
    <w:p w:rsidR="006E0F86" w:rsidRPr="009656C9" w:rsidRDefault="006E0F86" w:rsidP="009656C9">
      <w:pPr>
        <w:spacing w:after="0"/>
        <w:textAlignment w:val="center"/>
        <w:rPr>
          <w:rFonts w:ascii="Calibri" w:hAnsi="Calibri"/>
        </w:rPr>
      </w:pPr>
    </w:p>
    <w:p w:rsidR="006E0F86" w:rsidRDefault="006E0F86" w:rsidP="005155B7">
      <w:pPr>
        <w:spacing w:after="0"/>
        <w:textAlignment w:val="center"/>
        <w:rPr>
          <w:rFonts w:ascii="Calibri" w:hAnsi="Calibri"/>
        </w:rPr>
      </w:pPr>
    </w:p>
    <w:p w:rsidR="006E0F86" w:rsidRDefault="006E0F86" w:rsidP="005155B7">
      <w:pPr>
        <w:spacing w:after="0"/>
        <w:textAlignment w:val="center"/>
        <w:rPr>
          <w:rFonts w:ascii="Calibri" w:hAnsi="Calibri"/>
        </w:rPr>
      </w:pPr>
    </w:p>
    <w:p w:rsidR="006E0F86" w:rsidRDefault="006E0F86" w:rsidP="005155B7">
      <w:pPr>
        <w:spacing w:after="0"/>
        <w:textAlignment w:val="center"/>
        <w:rPr>
          <w:rFonts w:ascii="Calibri" w:hAnsi="Calibri"/>
        </w:rPr>
      </w:pPr>
    </w:p>
    <w:p w:rsidR="006E0F86" w:rsidRPr="005155B7" w:rsidRDefault="006E0F86" w:rsidP="006E0F86">
      <w:pPr>
        <w:pStyle w:val="Odstavecseseznamem"/>
        <w:numPr>
          <w:ilvl w:val="0"/>
          <w:numId w:val="3"/>
        </w:numPr>
        <w:ind w:left="0" w:firstLine="0"/>
        <w:rPr>
          <w:b/>
        </w:rPr>
      </w:pPr>
      <w:r w:rsidRPr="005155B7">
        <w:rPr>
          <w:b/>
        </w:rPr>
        <w:t xml:space="preserve">Představení </w:t>
      </w:r>
      <w:r>
        <w:rPr>
          <w:b/>
        </w:rPr>
        <w:t xml:space="preserve">nástrojů </w:t>
      </w:r>
      <w:proofErr w:type="spellStart"/>
      <w:r w:rsidRPr="005155B7">
        <w:rPr>
          <w:b/>
        </w:rPr>
        <w:t>EIB</w:t>
      </w:r>
      <w:proofErr w:type="spellEnd"/>
      <w:r>
        <w:rPr>
          <w:b/>
        </w:rPr>
        <w:t xml:space="preserve"> pro financování firem</w:t>
      </w:r>
    </w:p>
    <w:p w:rsidR="006E0F86" w:rsidRDefault="006E0F86" w:rsidP="005155B7">
      <w:pPr>
        <w:spacing w:after="0"/>
        <w:textAlignment w:val="center"/>
        <w:rPr>
          <w:rFonts w:ascii="Calibri" w:hAnsi="Calibri"/>
        </w:rPr>
      </w:pPr>
    </w:p>
    <w:p w:rsidR="006E0F86" w:rsidRPr="006E0F86" w:rsidRDefault="006E0F86" w:rsidP="006E0F86">
      <w:pPr>
        <w:pStyle w:val="Odstavecseseznamem"/>
        <w:numPr>
          <w:ilvl w:val="0"/>
          <w:numId w:val="2"/>
        </w:numPr>
        <w:spacing w:after="0"/>
        <w:ind w:left="284" w:hanging="284"/>
        <w:textAlignment w:val="center"/>
        <w:rPr>
          <w:rFonts w:ascii="Calibri" w:hAnsi="Calibri"/>
        </w:rPr>
      </w:pPr>
      <w:r w:rsidRPr="006E0F86">
        <w:rPr>
          <w:rFonts w:ascii="Calibri" w:hAnsi="Calibri"/>
        </w:rPr>
        <w:t xml:space="preserve">European Growth Finance stability: </w:t>
      </w:r>
    </w:p>
    <w:p w:rsidR="006E0F86" w:rsidRPr="006E0F86" w:rsidRDefault="006E0F86" w:rsidP="006E0F86">
      <w:pPr>
        <w:pStyle w:val="Odstavecseseznamem"/>
        <w:numPr>
          <w:ilvl w:val="1"/>
          <w:numId w:val="2"/>
        </w:numPr>
        <w:spacing w:after="0"/>
        <w:ind w:left="709" w:hanging="425"/>
        <w:textAlignment w:val="center"/>
        <w:rPr>
          <w:rFonts w:ascii="Calibri" w:hAnsi="Calibri"/>
          <w:i/>
        </w:rPr>
      </w:pPr>
      <w:r>
        <w:rPr>
          <w:rFonts w:ascii="Calibri" w:hAnsi="Calibri"/>
          <w:i/>
        </w:rPr>
        <w:t>Financování středních firem (</w:t>
      </w:r>
      <w:proofErr w:type="spellStart"/>
      <w:r w:rsidRPr="006E0F86">
        <w:rPr>
          <w:rFonts w:ascii="Calibri" w:hAnsi="Calibri"/>
          <w:i/>
        </w:rPr>
        <w:t>midcaps</w:t>
      </w:r>
      <w:proofErr w:type="spellEnd"/>
      <w:r>
        <w:rPr>
          <w:rFonts w:ascii="Calibri" w:hAnsi="Calibri"/>
          <w:i/>
        </w:rPr>
        <w:t>)</w:t>
      </w:r>
      <w:r w:rsidRPr="006E0F86">
        <w:rPr>
          <w:rFonts w:ascii="Calibri" w:hAnsi="Calibri"/>
          <w:i/>
        </w:rPr>
        <w:t xml:space="preserve">, </w:t>
      </w:r>
      <w:r>
        <w:rPr>
          <w:rFonts w:ascii="Calibri" w:hAnsi="Calibri"/>
          <w:i/>
        </w:rPr>
        <w:t xml:space="preserve">až do </w:t>
      </w:r>
      <w:r>
        <w:rPr>
          <w:rFonts w:ascii="Calibri" w:hAnsi="Calibri"/>
        </w:rPr>
        <w:t xml:space="preserve">€ </w:t>
      </w:r>
      <w:proofErr w:type="spellStart"/>
      <w:r w:rsidRPr="006E0F86">
        <w:rPr>
          <w:rFonts w:ascii="Calibri" w:hAnsi="Calibri"/>
          <w:i/>
        </w:rPr>
        <w:t>50m</w:t>
      </w:r>
      <w:proofErr w:type="spellEnd"/>
      <w:r w:rsidRPr="006E0F86">
        <w:rPr>
          <w:rFonts w:ascii="Calibri" w:hAnsi="Calibri"/>
          <w:i/>
        </w:rPr>
        <w:t xml:space="preserve">, 50% </w:t>
      </w:r>
      <w:proofErr w:type="spellStart"/>
      <w:r w:rsidRPr="006E0F86">
        <w:rPr>
          <w:rFonts w:ascii="Calibri" w:hAnsi="Calibri"/>
          <w:i/>
        </w:rPr>
        <w:t>of</w:t>
      </w:r>
      <w:proofErr w:type="spellEnd"/>
      <w:r w:rsidRPr="006E0F86">
        <w:rPr>
          <w:rFonts w:ascii="Calibri" w:hAnsi="Calibri"/>
          <w:i/>
        </w:rPr>
        <w:t xml:space="preserve"> </w:t>
      </w:r>
      <w:proofErr w:type="spellStart"/>
      <w:r w:rsidRPr="006E0F86">
        <w:rPr>
          <w:rFonts w:ascii="Calibri" w:hAnsi="Calibri"/>
          <w:i/>
        </w:rPr>
        <w:t>eligible</w:t>
      </w:r>
      <w:proofErr w:type="spellEnd"/>
      <w:r w:rsidRPr="006E0F86">
        <w:rPr>
          <w:rFonts w:ascii="Calibri" w:hAnsi="Calibri"/>
          <w:i/>
        </w:rPr>
        <w:t xml:space="preserve"> </w:t>
      </w:r>
      <w:proofErr w:type="spellStart"/>
      <w:r w:rsidRPr="006E0F86">
        <w:rPr>
          <w:rFonts w:ascii="Calibri" w:hAnsi="Calibri"/>
          <w:i/>
        </w:rPr>
        <w:t>project</w:t>
      </w:r>
      <w:proofErr w:type="spellEnd"/>
      <w:r w:rsidRPr="006E0F86">
        <w:rPr>
          <w:rFonts w:ascii="Calibri" w:hAnsi="Calibri"/>
          <w:i/>
        </w:rPr>
        <w:t xml:space="preserve"> </w:t>
      </w:r>
      <w:proofErr w:type="spellStart"/>
      <w:r w:rsidRPr="006E0F86">
        <w:rPr>
          <w:rFonts w:ascii="Calibri" w:hAnsi="Calibri"/>
          <w:i/>
        </w:rPr>
        <w:t>costs</w:t>
      </w:r>
      <w:proofErr w:type="spellEnd"/>
      <w:r w:rsidRPr="006E0F86">
        <w:rPr>
          <w:rFonts w:ascii="Calibri" w:hAnsi="Calibri"/>
          <w:i/>
        </w:rPr>
        <w:t>,</w:t>
      </w:r>
      <w:r>
        <w:rPr>
          <w:rFonts w:ascii="Calibri" w:hAnsi="Calibri"/>
          <w:i/>
        </w:rPr>
        <w:t xml:space="preserve"> primárně R&amp;D programy</w:t>
      </w:r>
      <w:r w:rsidRPr="006E0F86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 xml:space="preserve">v délce trvání </w:t>
      </w:r>
      <w:r w:rsidRPr="006E0F86">
        <w:rPr>
          <w:rFonts w:ascii="Calibri" w:hAnsi="Calibri"/>
          <w:i/>
        </w:rPr>
        <w:t>2-3</w:t>
      </w:r>
      <w:r>
        <w:rPr>
          <w:rFonts w:ascii="Calibri" w:hAnsi="Calibri"/>
          <w:i/>
        </w:rPr>
        <w:t xml:space="preserve"> roky</w:t>
      </w:r>
      <w:r w:rsidRPr="006E0F86">
        <w:rPr>
          <w:rFonts w:ascii="Calibri" w:hAnsi="Calibri"/>
          <w:i/>
        </w:rPr>
        <w:t xml:space="preserve">, </w:t>
      </w:r>
    </w:p>
    <w:p w:rsidR="006E0F86" w:rsidRDefault="006E0F86" w:rsidP="006E0F86">
      <w:pPr>
        <w:pStyle w:val="Odstavecseseznamem"/>
        <w:numPr>
          <w:ilvl w:val="1"/>
          <w:numId w:val="2"/>
        </w:numPr>
        <w:spacing w:after="0"/>
        <w:ind w:left="709" w:hanging="425"/>
        <w:textAlignment w:val="center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Termíny </w:t>
      </w:r>
      <w:r w:rsidRPr="006E0F86">
        <w:rPr>
          <w:rFonts w:ascii="Calibri" w:hAnsi="Calibri"/>
          <w:i/>
        </w:rPr>
        <w:t xml:space="preserve">5-7 </w:t>
      </w:r>
      <w:r>
        <w:rPr>
          <w:rFonts w:ascii="Calibri" w:hAnsi="Calibri"/>
          <w:i/>
        </w:rPr>
        <w:t>let, dlouhodobý podřízený</w:t>
      </w:r>
      <w:r w:rsidRPr="006E0F86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úvěr</w:t>
      </w:r>
    </w:p>
    <w:p w:rsidR="006E0F86" w:rsidRPr="006E0F86" w:rsidRDefault="006E0F86" w:rsidP="006E0F86">
      <w:pPr>
        <w:pStyle w:val="Odstavecseseznamem"/>
        <w:numPr>
          <w:ilvl w:val="1"/>
          <w:numId w:val="2"/>
        </w:numPr>
        <w:spacing w:after="0"/>
        <w:ind w:left="709" w:hanging="425"/>
        <w:textAlignment w:val="center"/>
        <w:rPr>
          <w:rFonts w:ascii="Calibri" w:hAnsi="Calibri"/>
          <w:i/>
        </w:rPr>
      </w:pPr>
      <w:proofErr w:type="spellStart"/>
      <w:r>
        <w:rPr>
          <w:rFonts w:ascii="Calibri" w:hAnsi="Calibri"/>
          <w:i/>
        </w:rPr>
        <w:t>EIB</w:t>
      </w:r>
      <w:proofErr w:type="spellEnd"/>
      <w:r>
        <w:rPr>
          <w:rFonts w:ascii="Calibri" w:hAnsi="Calibri"/>
          <w:i/>
        </w:rPr>
        <w:t xml:space="preserve"> je schopno financovat i spin-</w:t>
      </w:r>
      <w:proofErr w:type="spellStart"/>
      <w:r>
        <w:rPr>
          <w:rFonts w:ascii="Calibri" w:hAnsi="Calibri"/>
          <w:i/>
        </w:rPr>
        <w:t>off</w:t>
      </w:r>
      <w:proofErr w:type="spellEnd"/>
      <w:r>
        <w:rPr>
          <w:rFonts w:ascii="Calibri" w:hAnsi="Calibri"/>
          <w:i/>
        </w:rPr>
        <w:t xml:space="preserve"> firmy s období než začnou generovat tržby (příklad společnost </w:t>
      </w:r>
      <w:proofErr w:type="spellStart"/>
      <w:r w:rsidRPr="006E0F86">
        <w:rPr>
          <w:rFonts w:ascii="Calibri" w:hAnsi="Calibri"/>
          <w:i/>
        </w:rPr>
        <w:t>Heliatek</w:t>
      </w:r>
      <w:proofErr w:type="spellEnd"/>
      <w:r w:rsidRPr="006E0F86">
        <w:rPr>
          <w:rFonts w:ascii="Calibri" w:hAnsi="Calibri"/>
          <w:i/>
        </w:rPr>
        <w:t xml:space="preserve">, </w:t>
      </w:r>
      <w:r>
        <w:rPr>
          <w:rFonts w:ascii="Calibri" w:hAnsi="Calibri"/>
          <w:i/>
        </w:rPr>
        <w:t>Německo</w:t>
      </w:r>
      <w:r w:rsidRPr="006E0F86">
        <w:rPr>
          <w:rFonts w:ascii="Calibri" w:hAnsi="Calibri"/>
          <w:i/>
        </w:rPr>
        <w:t>)</w:t>
      </w:r>
    </w:p>
    <w:p w:rsidR="006E0F86" w:rsidRDefault="006E0F86" w:rsidP="006E0F86">
      <w:pPr>
        <w:pStyle w:val="Normlnweb"/>
        <w:spacing w:before="0" w:beforeAutospacing="0" w:after="0" w:afterAutospacing="0"/>
        <w:ind w:left="108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 </w:t>
      </w:r>
    </w:p>
    <w:p w:rsidR="006E0F86" w:rsidRDefault="006E0F86" w:rsidP="006E0F86">
      <w:pPr>
        <w:pStyle w:val="Odstavecseseznamem"/>
        <w:numPr>
          <w:ilvl w:val="0"/>
          <w:numId w:val="2"/>
        </w:numPr>
        <w:spacing w:after="0"/>
        <w:ind w:left="284" w:hanging="284"/>
        <w:textAlignment w:val="center"/>
        <w:rPr>
          <w:rFonts w:ascii="Calibri" w:hAnsi="Calibri"/>
        </w:rPr>
      </w:pPr>
      <w:proofErr w:type="spellStart"/>
      <w:r w:rsidRPr="006E0F86">
        <w:rPr>
          <w:rFonts w:ascii="Calibri" w:hAnsi="Calibri"/>
        </w:rPr>
        <w:t>Financing</w:t>
      </w:r>
      <w:proofErr w:type="spellEnd"/>
      <w:r w:rsidRPr="006E0F8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prostřednictvím lokálních finančních institucí </w:t>
      </w:r>
    </w:p>
    <w:p w:rsidR="006E0F86" w:rsidRDefault="006E0F86" w:rsidP="006E0F86">
      <w:pPr>
        <w:pStyle w:val="Odstavecseseznamem"/>
        <w:numPr>
          <w:ilvl w:val="1"/>
          <w:numId w:val="2"/>
        </w:numPr>
        <w:spacing w:after="0"/>
        <w:ind w:left="709" w:hanging="425"/>
        <w:textAlignment w:val="center"/>
        <w:rPr>
          <w:rFonts w:ascii="Calibri" w:hAnsi="Calibri"/>
          <w:i/>
        </w:rPr>
      </w:pPr>
      <w:r>
        <w:rPr>
          <w:rFonts w:ascii="Calibri" w:hAnsi="Calibri"/>
          <w:i/>
        </w:rPr>
        <w:t>Financování malých firem (</w:t>
      </w:r>
      <w:proofErr w:type="spellStart"/>
      <w:r>
        <w:rPr>
          <w:rFonts w:ascii="Calibri" w:hAnsi="Calibri"/>
          <w:i/>
        </w:rPr>
        <w:t>SMEs</w:t>
      </w:r>
      <w:proofErr w:type="spellEnd"/>
      <w:r>
        <w:rPr>
          <w:rFonts w:ascii="Calibri" w:hAnsi="Calibri"/>
          <w:i/>
        </w:rPr>
        <w:t>)</w:t>
      </w:r>
      <w:r w:rsidRPr="006E0F86">
        <w:rPr>
          <w:rFonts w:ascii="Calibri" w:hAnsi="Calibri"/>
          <w:i/>
        </w:rPr>
        <w:t xml:space="preserve">, </w:t>
      </w:r>
      <w:r>
        <w:rPr>
          <w:rFonts w:ascii="Calibri" w:hAnsi="Calibri"/>
          <w:i/>
        </w:rPr>
        <w:t xml:space="preserve">od </w:t>
      </w:r>
      <w:r>
        <w:rPr>
          <w:rFonts w:ascii="Calibri" w:hAnsi="Calibri"/>
        </w:rPr>
        <w:t xml:space="preserve">€ </w:t>
      </w:r>
      <w:proofErr w:type="spellStart"/>
      <w:r>
        <w:rPr>
          <w:rFonts w:ascii="Calibri" w:hAnsi="Calibri"/>
          <w:i/>
        </w:rPr>
        <w:t>25k</w:t>
      </w:r>
      <w:proofErr w:type="spellEnd"/>
      <w:r>
        <w:rPr>
          <w:rFonts w:ascii="Calibri" w:hAnsi="Calibri"/>
          <w:i/>
        </w:rPr>
        <w:t xml:space="preserve"> až do </w:t>
      </w:r>
      <w:r>
        <w:rPr>
          <w:rFonts w:ascii="Calibri" w:hAnsi="Calibri"/>
        </w:rPr>
        <w:t xml:space="preserve">€ </w:t>
      </w:r>
      <w:proofErr w:type="spellStart"/>
      <w:r>
        <w:rPr>
          <w:rFonts w:ascii="Calibri" w:hAnsi="Calibri"/>
          <w:i/>
        </w:rPr>
        <w:t>25</w:t>
      </w:r>
      <w:r w:rsidRPr="006E0F86">
        <w:rPr>
          <w:rFonts w:ascii="Calibri" w:hAnsi="Calibri"/>
          <w:i/>
        </w:rPr>
        <w:t>m</w:t>
      </w:r>
      <w:proofErr w:type="spellEnd"/>
      <w:r w:rsidRPr="006E0F86">
        <w:rPr>
          <w:rFonts w:ascii="Calibri" w:hAnsi="Calibri"/>
          <w:i/>
        </w:rPr>
        <w:t xml:space="preserve">, </w:t>
      </w:r>
    </w:p>
    <w:p w:rsidR="006E0F86" w:rsidRDefault="006E0F86" w:rsidP="006E0F86">
      <w:pPr>
        <w:pStyle w:val="Odstavecseseznamem"/>
        <w:numPr>
          <w:ilvl w:val="1"/>
          <w:numId w:val="2"/>
        </w:numPr>
        <w:spacing w:after="0"/>
        <w:ind w:left="709" w:hanging="425"/>
        <w:textAlignment w:val="center"/>
        <w:rPr>
          <w:rFonts w:ascii="Calibri" w:hAnsi="Calibri"/>
          <w:i/>
        </w:rPr>
      </w:pPr>
      <w:r>
        <w:rPr>
          <w:rFonts w:ascii="Calibri" w:hAnsi="Calibri"/>
          <w:i/>
        </w:rPr>
        <w:t>Výhodné úrokové sazby</w:t>
      </w:r>
    </w:p>
    <w:p w:rsidR="006E0F86" w:rsidRPr="006E0F86" w:rsidRDefault="006E0F86" w:rsidP="006E0F86">
      <w:pPr>
        <w:pStyle w:val="Odstavecseseznamem"/>
        <w:numPr>
          <w:ilvl w:val="1"/>
          <w:numId w:val="2"/>
        </w:numPr>
        <w:spacing w:after="0"/>
        <w:ind w:left="709" w:hanging="425"/>
        <w:textAlignment w:val="center"/>
        <w:rPr>
          <w:rFonts w:ascii="Calibri" w:hAnsi="Calibri"/>
          <w:i/>
        </w:rPr>
      </w:pPr>
      <w:r w:rsidRPr="006E0F86">
        <w:rPr>
          <w:rFonts w:ascii="Calibri" w:hAnsi="Calibri"/>
          <w:i/>
        </w:rPr>
        <w:t xml:space="preserve">Více info na </w:t>
      </w:r>
      <w:hyperlink r:id="rId5" w:history="1">
        <w:proofErr w:type="spellStart"/>
        <w:r w:rsidRPr="006E0F86">
          <w:rPr>
            <w:rStyle w:val="Hypertextovodkaz"/>
            <w:rFonts w:ascii="Calibri" w:hAnsi="Calibri"/>
            <w:lang w:val="en-GB"/>
          </w:rPr>
          <w:t>www.accesstofinance.eu</w:t>
        </w:r>
        <w:proofErr w:type="spellEnd"/>
      </w:hyperlink>
    </w:p>
    <w:p w:rsidR="006E0F86" w:rsidRDefault="006E0F86" w:rsidP="006E0F86">
      <w:pPr>
        <w:pStyle w:val="Normlnweb"/>
        <w:spacing w:before="0" w:beforeAutospacing="0" w:after="0" w:afterAutospacing="0"/>
        <w:ind w:left="162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 </w:t>
      </w:r>
    </w:p>
    <w:p w:rsidR="006E0F86" w:rsidRPr="006E0F86" w:rsidRDefault="006E0F86" w:rsidP="006E0F86">
      <w:pPr>
        <w:pStyle w:val="Odstavecseseznamem"/>
        <w:numPr>
          <w:ilvl w:val="0"/>
          <w:numId w:val="2"/>
        </w:numPr>
        <w:spacing w:after="0"/>
        <w:ind w:left="284" w:hanging="284"/>
        <w:textAlignment w:val="center"/>
        <w:rPr>
          <w:rFonts w:ascii="Calibri" w:hAnsi="Calibri"/>
        </w:rPr>
      </w:pPr>
      <w:r>
        <w:rPr>
          <w:rFonts w:ascii="Calibri" w:hAnsi="Calibri"/>
        </w:rPr>
        <w:t xml:space="preserve">European </w:t>
      </w:r>
      <w:proofErr w:type="spellStart"/>
      <w:r>
        <w:rPr>
          <w:rFonts w:ascii="Calibri" w:hAnsi="Calibri"/>
        </w:rPr>
        <w:t>Investment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Fund</w:t>
      </w:r>
      <w:proofErr w:type="spellEnd"/>
    </w:p>
    <w:p w:rsidR="006E0F86" w:rsidRDefault="006E0F86" w:rsidP="006E0F86">
      <w:pPr>
        <w:pStyle w:val="Odstavecseseznamem"/>
        <w:numPr>
          <w:ilvl w:val="1"/>
          <w:numId w:val="2"/>
        </w:numPr>
        <w:spacing w:after="0"/>
        <w:ind w:left="709" w:hanging="425"/>
        <w:textAlignment w:val="center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Financování rizikových projektů a firem formou záruk a kapitálových vstupů (prostřednictvím </w:t>
      </w:r>
      <w:proofErr w:type="spellStart"/>
      <w:r>
        <w:rPr>
          <w:rFonts w:ascii="Calibri" w:hAnsi="Calibri"/>
          <w:i/>
        </w:rPr>
        <w:t>private</w:t>
      </w:r>
      <w:proofErr w:type="spellEnd"/>
      <w:r>
        <w:rPr>
          <w:rFonts w:ascii="Calibri" w:hAnsi="Calibri"/>
          <w:i/>
        </w:rPr>
        <w:t xml:space="preserve"> equity </w:t>
      </w:r>
      <w:proofErr w:type="spellStart"/>
      <w:r>
        <w:rPr>
          <w:rFonts w:ascii="Calibri" w:hAnsi="Calibri"/>
          <w:i/>
        </w:rPr>
        <w:t>funds</w:t>
      </w:r>
      <w:proofErr w:type="spellEnd"/>
      <w:r>
        <w:rPr>
          <w:rFonts w:ascii="Calibri" w:hAnsi="Calibri"/>
          <w:i/>
        </w:rPr>
        <w:t xml:space="preserve"> v jednotlivých zemích)</w:t>
      </w:r>
    </w:p>
    <w:p w:rsidR="009656C9" w:rsidRDefault="009656C9" w:rsidP="006E0F86">
      <w:pPr>
        <w:pStyle w:val="Odstavecseseznamem"/>
        <w:numPr>
          <w:ilvl w:val="1"/>
          <w:numId w:val="2"/>
        </w:numPr>
        <w:spacing w:after="0"/>
        <w:ind w:left="709" w:hanging="425"/>
        <w:textAlignment w:val="center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Zaměření na </w:t>
      </w:r>
      <w:proofErr w:type="spellStart"/>
      <w:r>
        <w:rPr>
          <w:rFonts w:ascii="Calibri" w:hAnsi="Calibri"/>
          <w:i/>
        </w:rPr>
        <w:t>ICT</w:t>
      </w:r>
      <w:proofErr w:type="spellEnd"/>
      <w:r>
        <w:rPr>
          <w:rFonts w:ascii="Calibri" w:hAnsi="Calibri"/>
          <w:i/>
        </w:rPr>
        <w:t xml:space="preserve"> projekty (nikoliv výlučně)</w:t>
      </w:r>
    </w:p>
    <w:p w:rsidR="006E0F86" w:rsidRPr="006E0F86" w:rsidRDefault="009656C9" w:rsidP="006E0F86">
      <w:pPr>
        <w:pStyle w:val="Odstavecseseznamem"/>
        <w:numPr>
          <w:ilvl w:val="1"/>
          <w:numId w:val="2"/>
        </w:numPr>
        <w:spacing w:after="0"/>
        <w:ind w:left="709" w:hanging="425"/>
        <w:textAlignment w:val="center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Pokrývá </w:t>
      </w:r>
      <w:proofErr w:type="spellStart"/>
      <w:r w:rsidR="006E0F86" w:rsidRPr="006E0F86">
        <w:rPr>
          <w:rFonts w:ascii="Calibri" w:hAnsi="Calibri"/>
          <w:i/>
        </w:rPr>
        <w:t>pre</w:t>
      </w:r>
      <w:proofErr w:type="spellEnd"/>
      <w:r w:rsidR="006E0F86" w:rsidRPr="006E0F86">
        <w:rPr>
          <w:rFonts w:ascii="Calibri" w:hAnsi="Calibri"/>
          <w:i/>
        </w:rPr>
        <w:t>-</w:t>
      </w:r>
      <w:proofErr w:type="spellStart"/>
      <w:r w:rsidR="006E0F86" w:rsidRPr="006E0F86">
        <w:rPr>
          <w:rFonts w:ascii="Calibri" w:hAnsi="Calibri"/>
          <w:i/>
        </w:rPr>
        <w:t>seed</w:t>
      </w:r>
      <w:proofErr w:type="spellEnd"/>
      <w:r w:rsidR="006E0F86" w:rsidRPr="006E0F86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 xml:space="preserve">fázi života firem </w:t>
      </w:r>
      <w:r w:rsidR="006E0F86" w:rsidRPr="006E0F86">
        <w:rPr>
          <w:rFonts w:ascii="Calibri" w:hAnsi="Calibri"/>
          <w:i/>
        </w:rPr>
        <w:t>(</w:t>
      </w:r>
      <w:r>
        <w:rPr>
          <w:rFonts w:ascii="Calibri" w:hAnsi="Calibri"/>
          <w:i/>
        </w:rPr>
        <w:t>včetně technology transfer</w:t>
      </w:r>
      <w:r w:rsidR="006E0F86" w:rsidRPr="006E0F86">
        <w:rPr>
          <w:rFonts w:ascii="Calibri" w:hAnsi="Calibri"/>
          <w:i/>
        </w:rPr>
        <w:t>)</w:t>
      </w:r>
    </w:p>
    <w:p w:rsidR="006E0F86" w:rsidRPr="006E0F86" w:rsidRDefault="009656C9" w:rsidP="006E0F86">
      <w:pPr>
        <w:pStyle w:val="Odstavecseseznamem"/>
        <w:numPr>
          <w:ilvl w:val="1"/>
          <w:numId w:val="2"/>
        </w:numPr>
        <w:spacing w:after="0"/>
        <w:ind w:left="709" w:hanging="425"/>
        <w:textAlignment w:val="center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Platí omezení na vyloučené odvětví jako u </w:t>
      </w:r>
      <w:proofErr w:type="spellStart"/>
      <w:r>
        <w:rPr>
          <w:rFonts w:ascii="Calibri" w:hAnsi="Calibri"/>
          <w:i/>
        </w:rPr>
        <w:t>EIF</w:t>
      </w:r>
      <w:proofErr w:type="spellEnd"/>
    </w:p>
    <w:p w:rsidR="006E0F86" w:rsidRDefault="006E0F86" w:rsidP="005155B7">
      <w:pPr>
        <w:spacing w:after="0"/>
        <w:textAlignment w:val="center"/>
        <w:rPr>
          <w:rFonts w:ascii="Calibri" w:hAnsi="Calibri"/>
        </w:rPr>
      </w:pPr>
    </w:p>
    <w:p w:rsidR="009656C9" w:rsidRDefault="009656C9" w:rsidP="005155B7">
      <w:pPr>
        <w:spacing w:after="0"/>
        <w:textAlignment w:val="center"/>
        <w:rPr>
          <w:rFonts w:ascii="Calibri" w:hAnsi="Calibri"/>
        </w:rPr>
      </w:pPr>
      <w:r>
        <w:rPr>
          <w:rFonts w:ascii="Calibri" w:hAnsi="Calibri"/>
          <w:i/>
        </w:rPr>
        <w:t>Závěr</w:t>
      </w:r>
      <w:r>
        <w:rPr>
          <w:rFonts w:ascii="Calibri" w:hAnsi="Calibri"/>
        </w:rPr>
        <w:t xml:space="preserve">: </w:t>
      </w:r>
    </w:p>
    <w:p w:rsidR="009656C9" w:rsidRDefault="009656C9" w:rsidP="009656C9">
      <w:pPr>
        <w:pStyle w:val="Odstavecseseznamem"/>
        <w:numPr>
          <w:ilvl w:val="0"/>
          <w:numId w:val="2"/>
        </w:numPr>
        <w:spacing w:after="0"/>
        <w:ind w:left="284" w:hanging="284"/>
        <w:textAlignment w:val="center"/>
        <w:rPr>
          <w:rFonts w:ascii="Calibri" w:hAnsi="Calibri"/>
        </w:rPr>
      </w:pPr>
      <w:proofErr w:type="spellStart"/>
      <w:r>
        <w:rPr>
          <w:rFonts w:ascii="Calibri" w:hAnsi="Calibri"/>
        </w:rPr>
        <w:t>EIB</w:t>
      </w:r>
      <w:proofErr w:type="spellEnd"/>
      <w:r>
        <w:rPr>
          <w:rFonts w:ascii="Calibri" w:hAnsi="Calibri"/>
        </w:rPr>
        <w:t xml:space="preserve"> poskytuje možnost získat financování na omezený okruh projektů v oblasti </w:t>
      </w:r>
      <w:proofErr w:type="spellStart"/>
      <w:r>
        <w:rPr>
          <w:rFonts w:ascii="Calibri" w:hAnsi="Calibri"/>
        </w:rPr>
        <w:t>Defence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and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Security</w:t>
      </w:r>
      <w:proofErr w:type="spellEnd"/>
      <w:r>
        <w:rPr>
          <w:rFonts w:ascii="Calibri" w:hAnsi="Calibri"/>
        </w:rPr>
        <w:t xml:space="preserve"> za výhodnějších podmínek, než běžné bankovní financování (přímo od </w:t>
      </w:r>
      <w:proofErr w:type="spellStart"/>
      <w:r>
        <w:rPr>
          <w:rFonts w:ascii="Calibri" w:hAnsi="Calibri"/>
        </w:rPr>
        <w:t>EIB</w:t>
      </w:r>
      <w:proofErr w:type="spellEnd"/>
      <w:r>
        <w:rPr>
          <w:rFonts w:ascii="Calibri" w:hAnsi="Calibri"/>
        </w:rPr>
        <w:t xml:space="preserve"> v případě středních a velkých firem, nepřímo prostřednictvím lokálních bank pro </w:t>
      </w:r>
      <w:proofErr w:type="spellStart"/>
      <w:r>
        <w:rPr>
          <w:rFonts w:ascii="Calibri" w:hAnsi="Calibri"/>
        </w:rPr>
        <w:t>SMEs</w:t>
      </w:r>
      <w:proofErr w:type="spellEnd"/>
      <w:r>
        <w:rPr>
          <w:rFonts w:ascii="Calibri" w:hAnsi="Calibri"/>
        </w:rPr>
        <w:t>)</w:t>
      </w:r>
    </w:p>
    <w:p w:rsidR="009656C9" w:rsidRDefault="009656C9" w:rsidP="009656C9">
      <w:pPr>
        <w:pStyle w:val="Odstavecseseznamem"/>
        <w:numPr>
          <w:ilvl w:val="0"/>
          <w:numId w:val="2"/>
        </w:numPr>
        <w:spacing w:after="0"/>
        <w:ind w:left="284" w:hanging="284"/>
        <w:textAlignment w:val="center"/>
        <w:rPr>
          <w:rFonts w:ascii="Calibri" w:hAnsi="Calibri"/>
        </w:rPr>
      </w:pPr>
      <w:r>
        <w:rPr>
          <w:rFonts w:ascii="Calibri" w:hAnsi="Calibri"/>
        </w:rPr>
        <w:t xml:space="preserve">Odvětví vyloučená z financování </w:t>
      </w:r>
      <w:proofErr w:type="spellStart"/>
      <w:r>
        <w:rPr>
          <w:rFonts w:ascii="Calibri" w:hAnsi="Calibri"/>
        </w:rPr>
        <w:t>EIB</w:t>
      </w:r>
      <w:proofErr w:type="spellEnd"/>
      <w:r>
        <w:rPr>
          <w:rFonts w:ascii="Calibri" w:hAnsi="Calibri"/>
        </w:rPr>
        <w:t xml:space="preserve"> jsou velkou překážkou širšího využití nástrojů </w:t>
      </w:r>
      <w:proofErr w:type="spellStart"/>
      <w:r>
        <w:rPr>
          <w:rFonts w:ascii="Calibri" w:hAnsi="Calibri"/>
        </w:rPr>
        <w:t>EIB</w:t>
      </w:r>
      <w:proofErr w:type="spellEnd"/>
      <w:r>
        <w:rPr>
          <w:rFonts w:ascii="Calibri" w:hAnsi="Calibri"/>
        </w:rPr>
        <w:t xml:space="preserve"> průmyslem</w:t>
      </w:r>
    </w:p>
    <w:p w:rsidR="009656C9" w:rsidRDefault="009656C9" w:rsidP="009656C9">
      <w:pPr>
        <w:pStyle w:val="Odstavecseseznamem"/>
        <w:numPr>
          <w:ilvl w:val="0"/>
          <w:numId w:val="2"/>
        </w:numPr>
        <w:spacing w:after="0"/>
        <w:ind w:left="284" w:hanging="284"/>
        <w:textAlignment w:val="center"/>
        <w:rPr>
          <w:rFonts w:ascii="Calibri" w:hAnsi="Calibri"/>
        </w:rPr>
      </w:pPr>
      <w:r>
        <w:rPr>
          <w:rFonts w:ascii="Calibri" w:hAnsi="Calibri"/>
        </w:rPr>
        <w:t xml:space="preserve">Zástupci průmyslu důrazně upozorňovali na komplikovanost při získávání financování svých projektů a nutnost změny nastavení </w:t>
      </w:r>
      <w:proofErr w:type="spellStart"/>
      <w:r>
        <w:rPr>
          <w:rFonts w:ascii="Calibri" w:hAnsi="Calibri"/>
        </w:rPr>
        <w:t>EIB</w:t>
      </w:r>
      <w:proofErr w:type="spellEnd"/>
      <w:r>
        <w:rPr>
          <w:rFonts w:ascii="Calibri" w:hAnsi="Calibri"/>
        </w:rPr>
        <w:t xml:space="preserve"> a politiky EU</w:t>
      </w:r>
    </w:p>
    <w:p w:rsidR="009656C9" w:rsidRDefault="009656C9" w:rsidP="009656C9">
      <w:pPr>
        <w:pStyle w:val="Odstavecseseznamem"/>
        <w:numPr>
          <w:ilvl w:val="0"/>
          <w:numId w:val="2"/>
        </w:numPr>
        <w:spacing w:after="0"/>
        <w:ind w:left="284" w:hanging="284"/>
        <w:textAlignment w:val="center"/>
        <w:rPr>
          <w:rFonts w:ascii="Calibri" w:hAnsi="Calibri"/>
        </w:rPr>
      </w:pPr>
      <w:r>
        <w:rPr>
          <w:rFonts w:ascii="Calibri" w:hAnsi="Calibri"/>
        </w:rPr>
        <w:t>Padlo doporučení na rozšíření podporovaných odvětví v </w:t>
      </w:r>
      <w:proofErr w:type="spellStart"/>
      <w:r>
        <w:rPr>
          <w:rFonts w:ascii="Calibri" w:hAnsi="Calibri"/>
        </w:rPr>
        <w:t>EIB</w:t>
      </w:r>
      <w:proofErr w:type="spellEnd"/>
      <w:r>
        <w:rPr>
          <w:rFonts w:ascii="Calibri" w:hAnsi="Calibri"/>
        </w:rPr>
        <w:t xml:space="preserve"> zejména s ohledem na strategii budování kapacit EU v oblasti </w:t>
      </w:r>
      <w:proofErr w:type="spellStart"/>
      <w:r>
        <w:rPr>
          <w:rFonts w:ascii="Calibri" w:hAnsi="Calibri"/>
        </w:rPr>
        <w:t>defence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security</w:t>
      </w:r>
      <w:proofErr w:type="spellEnd"/>
      <w:r>
        <w:rPr>
          <w:rFonts w:ascii="Calibri" w:hAnsi="Calibri"/>
        </w:rPr>
        <w:t xml:space="preserve"> a s ohledem na nově připravovaný finanční rámec (nový </w:t>
      </w:r>
      <w:proofErr w:type="spellStart"/>
      <w:r>
        <w:rPr>
          <w:rFonts w:ascii="Calibri" w:hAnsi="Calibri"/>
        </w:rPr>
        <w:t>Horizon</w:t>
      </w:r>
      <w:proofErr w:type="spellEnd"/>
      <w:r>
        <w:rPr>
          <w:rFonts w:ascii="Calibri" w:hAnsi="Calibri"/>
        </w:rPr>
        <w:t xml:space="preserve"> 2020)</w:t>
      </w:r>
    </w:p>
    <w:p w:rsidR="009656C9" w:rsidRPr="009656C9" w:rsidRDefault="009656C9" w:rsidP="009656C9">
      <w:pPr>
        <w:pStyle w:val="Odstavecseseznamem"/>
        <w:numPr>
          <w:ilvl w:val="0"/>
          <w:numId w:val="2"/>
        </w:numPr>
        <w:spacing w:after="0"/>
        <w:ind w:left="284" w:hanging="284"/>
        <w:textAlignment w:val="center"/>
        <w:rPr>
          <w:rFonts w:ascii="Calibri" w:hAnsi="Calibri"/>
        </w:rPr>
      </w:pPr>
      <w:proofErr w:type="spellStart"/>
      <w:r>
        <w:rPr>
          <w:rFonts w:ascii="Calibri" w:hAnsi="Calibri"/>
        </w:rPr>
        <w:t>EIB</w:t>
      </w:r>
      <w:proofErr w:type="spellEnd"/>
      <w:r>
        <w:rPr>
          <w:rFonts w:ascii="Calibri" w:hAnsi="Calibri"/>
        </w:rPr>
        <w:t xml:space="preserve"> je připravena účastnit se lokálních workshopů v jednotlivých zemích, pokud bude zájem</w:t>
      </w:r>
    </w:p>
    <w:p w:rsidR="009656C9" w:rsidRPr="009656C9" w:rsidRDefault="009656C9" w:rsidP="009656C9">
      <w:pPr>
        <w:pStyle w:val="Odstavecseseznamem"/>
        <w:spacing w:after="0"/>
        <w:ind w:left="284"/>
        <w:textAlignment w:val="center"/>
        <w:rPr>
          <w:rFonts w:ascii="Calibri" w:hAnsi="Calibri"/>
        </w:rPr>
      </w:pPr>
    </w:p>
    <w:p w:rsidR="009656C9" w:rsidRPr="005155B7" w:rsidRDefault="009656C9" w:rsidP="005155B7">
      <w:pPr>
        <w:spacing w:after="0"/>
        <w:textAlignment w:val="center"/>
        <w:rPr>
          <w:rFonts w:ascii="Calibri" w:hAnsi="Calibri"/>
        </w:rPr>
      </w:pPr>
    </w:p>
    <w:sectPr w:rsidR="009656C9" w:rsidRPr="005155B7" w:rsidSect="00CF5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690C"/>
    <w:multiLevelType w:val="hybridMultilevel"/>
    <w:tmpl w:val="905EF47A"/>
    <w:lvl w:ilvl="0" w:tplc="25EAC9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53D24"/>
    <w:multiLevelType w:val="hybridMultilevel"/>
    <w:tmpl w:val="C04A8C08"/>
    <w:lvl w:ilvl="0" w:tplc="E3B67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65057"/>
    <w:multiLevelType w:val="hybridMultilevel"/>
    <w:tmpl w:val="D144ADC8"/>
    <w:lvl w:ilvl="0" w:tplc="04D229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F4994"/>
    <w:rsid w:val="00140335"/>
    <w:rsid w:val="001D30E3"/>
    <w:rsid w:val="005155B7"/>
    <w:rsid w:val="006E0F86"/>
    <w:rsid w:val="009656C9"/>
    <w:rsid w:val="00CF5C1E"/>
    <w:rsid w:val="00EF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5C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499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F49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E0F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cesstofinanc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481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3</cp:revision>
  <dcterms:created xsi:type="dcterms:W3CDTF">2017-07-16T18:09:00Z</dcterms:created>
  <dcterms:modified xsi:type="dcterms:W3CDTF">2017-07-16T18:52:00Z</dcterms:modified>
</cp:coreProperties>
</file>