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4886" w14:textId="77777777" w:rsidR="00F7797E" w:rsidRDefault="00F7797E" w:rsidP="00F7797E">
      <w:pPr>
        <w:rPr>
          <w:lang w:val="en-GB"/>
        </w:rPr>
      </w:pPr>
      <w:r>
        <w:rPr>
          <w:lang w:val="en-GB"/>
        </w:rPr>
        <w:t>Dear NIAG members,</w:t>
      </w:r>
    </w:p>
    <w:p w14:paraId="6BA128E0" w14:textId="77777777" w:rsidR="00F7797E" w:rsidRDefault="00F7797E" w:rsidP="00F7797E">
      <w:pPr>
        <w:rPr>
          <w:lang w:val="en-GB"/>
        </w:rPr>
      </w:pPr>
    </w:p>
    <w:p w14:paraId="20A9FE4E" w14:textId="77777777" w:rsidR="00F7797E" w:rsidRDefault="00F7797E" w:rsidP="00F7797E">
      <w:pPr>
        <w:rPr>
          <w:lang w:val="en-GB"/>
        </w:rPr>
      </w:pPr>
      <w:proofErr w:type="gramStart"/>
      <w:r>
        <w:rPr>
          <w:lang w:val="en-GB"/>
        </w:rPr>
        <w:t>First of all</w:t>
      </w:r>
      <w:proofErr w:type="gramEnd"/>
      <w:r>
        <w:rPr>
          <w:lang w:val="en-GB"/>
        </w:rPr>
        <w:t>, best wishes for a happy and safe 2021!</w:t>
      </w:r>
    </w:p>
    <w:p w14:paraId="348DC397" w14:textId="77777777" w:rsidR="00F7797E" w:rsidRDefault="00F7797E" w:rsidP="00F7797E">
      <w:pPr>
        <w:rPr>
          <w:lang w:val="en-GB"/>
        </w:rPr>
      </w:pPr>
    </w:p>
    <w:p w14:paraId="3D9535BF" w14:textId="77777777" w:rsidR="00F7797E" w:rsidRDefault="00F7797E" w:rsidP="00F7797E">
      <w:pPr>
        <w:rPr>
          <w:lang w:val="en-GB"/>
        </w:rPr>
      </w:pPr>
      <w:r>
        <w:rPr>
          <w:lang w:val="en-GB"/>
        </w:rPr>
        <w:t xml:space="preserve">The 2021 NIAG studies programme has been approved by the CNAD and you will find below the calendar of EG meetings. These meetings are planned to be held virtually until further notice and a calling notice for each will be issued in due time. </w:t>
      </w:r>
    </w:p>
    <w:p w14:paraId="203BBB94" w14:textId="77777777" w:rsidR="00F7797E" w:rsidRDefault="00F7797E" w:rsidP="00F7797E">
      <w:pPr>
        <w:rPr>
          <w:color w:val="1F497D"/>
          <w:lang w:val="en-GB"/>
        </w:rPr>
      </w:pPr>
    </w:p>
    <w:tbl>
      <w:tblPr>
        <w:tblW w:w="8120" w:type="dxa"/>
        <w:tblCellMar>
          <w:left w:w="0" w:type="dxa"/>
          <w:right w:w="0" w:type="dxa"/>
        </w:tblCellMar>
        <w:tblLook w:val="04A0" w:firstRow="1" w:lastRow="0" w:firstColumn="1" w:lastColumn="0" w:noHBand="0" w:noVBand="1"/>
      </w:tblPr>
      <w:tblGrid>
        <w:gridCol w:w="1340"/>
        <w:gridCol w:w="5060"/>
        <w:gridCol w:w="1720"/>
      </w:tblGrid>
      <w:tr w:rsidR="00F7797E" w14:paraId="4493D2B1" w14:textId="77777777" w:rsidTr="00F7797E">
        <w:trPr>
          <w:trHeight w:val="555"/>
        </w:trPr>
        <w:tc>
          <w:tcPr>
            <w:tcW w:w="1340"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E97D26A" w14:textId="77777777" w:rsidR="00F7797E" w:rsidRDefault="00F7797E">
            <w:pPr>
              <w:jc w:val="center"/>
              <w:rPr>
                <w:rFonts w:ascii="Arial" w:hAnsi="Arial" w:cs="Arial"/>
                <w:b/>
                <w:bCs/>
                <w:sz w:val="20"/>
                <w:szCs w:val="20"/>
                <w:lang w:eastAsia="en-GB"/>
              </w:rPr>
            </w:pPr>
            <w:r>
              <w:rPr>
                <w:rFonts w:ascii="Arial" w:hAnsi="Arial" w:cs="Arial"/>
                <w:b/>
                <w:bCs/>
                <w:color w:val="FFFFFF"/>
                <w:sz w:val="20"/>
                <w:szCs w:val="20"/>
                <w:lang w:eastAsia="en-GB"/>
              </w:rPr>
              <w:t>EG date</w:t>
            </w:r>
          </w:p>
        </w:tc>
        <w:tc>
          <w:tcPr>
            <w:tcW w:w="50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1700873" w14:textId="77777777" w:rsidR="00F7797E" w:rsidRDefault="00F7797E">
            <w:pPr>
              <w:rPr>
                <w:rFonts w:ascii="Arial" w:hAnsi="Arial" w:cs="Arial"/>
                <w:b/>
                <w:bCs/>
                <w:color w:val="FFFFFF"/>
                <w:sz w:val="20"/>
                <w:szCs w:val="20"/>
                <w:lang w:eastAsia="en-GB"/>
              </w:rPr>
            </w:pPr>
            <w:r>
              <w:rPr>
                <w:rFonts w:ascii="Arial" w:hAnsi="Arial" w:cs="Arial"/>
                <w:b/>
                <w:bCs/>
                <w:color w:val="FFFFFF"/>
                <w:sz w:val="20"/>
                <w:szCs w:val="20"/>
                <w:lang w:eastAsia="en-GB"/>
              </w:rPr>
              <w:t>Study Title</w:t>
            </w:r>
          </w:p>
        </w:tc>
        <w:tc>
          <w:tcPr>
            <w:tcW w:w="17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00D263" w14:textId="77777777" w:rsidR="00F7797E" w:rsidRDefault="00F7797E">
            <w:pPr>
              <w:jc w:val="center"/>
              <w:rPr>
                <w:rFonts w:ascii="Arial" w:hAnsi="Arial" w:cs="Arial"/>
                <w:b/>
                <w:bCs/>
                <w:color w:val="FFFFFF"/>
                <w:sz w:val="20"/>
                <w:szCs w:val="20"/>
                <w:lang w:eastAsia="en-GB"/>
              </w:rPr>
            </w:pPr>
            <w:r>
              <w:rPr>
                <w:rFonts w:ascii="Arial" w:hAnsi="Arial" w:cs="Arial"/>
                <w:b/>
                <w:bCs/>
                <w:color w:val="FFFFFF"/>
                <w:sz w:val="20"/>
                <w:szCs w:val="20"/>
                <w:lang w:eastAsia="en-GB"/>
              </w:rPr>
              <w:t>Open to Partners</w:t>
            </w:r>
            <w:r>
              <w:rPr>
                <w:rFonts w:ascii="Arial" w:hAnsi="Arial" w:cs="Arial"/>
                <w:b/>
                <w:bCs/>
                <w:color w:val="FFFFFF"/>
                <w:sz w:val="20"/>
                <w:szCs w:val="20"/>
                <w:lang w:eastAsia="en-GB"/>
              </w:rPr>
              <w:br/>
              <w:t>Y/N</w:t>
            </w:r>
          </w:p>
        </w:tc>
      </w:tr>
      <w:tr w:rsidR="00F7797E" w14:paraId="561C16A9" w14:textId="77777777" w:rsidTr="00F7797E">
        <w:trPr>
          <w:trHeight w:val="87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965D50" w14:textId="77777777" w:rsidR="00F7797E" w:rsidRDefault="00F7797E">
            <w:pPr>
              <w:jc w:val="right"/>
              <w:rPr>
                <w:lang w:eastAsia="en-GB"/>
              </w:rPr>
            </w:pPr>
            <w:proofErr w:type="gramStart"/>
            <w:r>
              <w:rPr>
                <w:lang w:eastAsia="en-GB"/>
              </w:rPr>
              <w:t>02-Feb</w:t>
            </w:r>
            <w:proofErr w:type="gramEnd"/>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6B6D5" w14:textId="77777777" w:rsidR="00F7797E" w:rsidRDefault="00F7797E">
            <w:pPr>
              <w:rPr>
                <w:color w:val="000000"/>
                <w:lang w:eastAsia="en-GB"/>
              </w:rPr>
            </w:pPr>
            <w:r>
              <w:rPr>
                <w:color w:val="000000"/>
                <w:lang w:eastAsia="en-GB"/>
              </w:rPr>
              <w:t>NATO GeoSpatial Data Infrastructure (SDI) Architecture and Implementation Plan</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20CB18" w14:textId="77777777" w:rsidR="00F7797E" w:rsidRDefault="00F7797E">
            <w:pPr>
              <w:jc w:val="center"/>
              <w:rPr>
                <w:color w:val="000000"/>
                <w:lang w:eastAsia="en-GB"/>
              </w:rPr>
            </w:pPr>
            <w:r>
              <w:rPr>
                <w:color w:val="000000"/>
                <w:lang w:eastAsia="en-GB"/>
              </w:rPr>
              <w:t>IP</w:t>
            </w:r>
          </w:p>
        </w:tc>
      </w:tr>
      <w:tr w:rsidR="00F7797E" w14:paraId="55DB847D" w14:textId="77777777" w:rsidTr="00F7797E">
        <w:trPr>
          <w:trHeight w:val="870"/>
        </w:trPr>
        <w:tc>
          <w:tcPr>
            <w:tcW w:w="134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0E9E320C" w14:textId="77777777" w:rsidR="00F7797E" w:rsidRDefault="00F7797E">
            <w:pPr>
              <w:jc w:val="right"/>
              <w:rPr>
                <w:lang w:eastAsia="en-GB"/>
              </w:rPr>
            </w:pPr>
            <w:proofErr w:type="gramStart"/>
            <w:r>
              <w:rPr>
                <w:color w:val="000000"/>
                <w:lang w:eastAsia="en-GB"/>
              </w:rPr>
              <w:t>09-Feb</w:t>
            </w:r>
            <w:proofErr w:type="gramEnd"/>
          </w:p>
        </w:tc>
        <w:tc>
          <w:tcPr>
            <w:tcW w:w="506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65F2A6B0" w14:textId="77777777" w:rsidR="00F7797E" w:rsidRDefault="00F7797E">
            <w:pPr>
              <w:rPr>
                <w:color w:val="000000"/>
                <w:lang w:eastAsia="en-GB"/>
              </w:rPr>
            </w:pPr>
            <w:r>
              <w:rPr>
                <w:color w:val="000000"/>
                <w:lang w:eastAsia="en-GB"/>
              </w:rPr>
              <w:t>Feasibility to achieve FMN Milestones 2 and 3</w:t>
            </w:r>
          </w:p>
        </w:tc>
        <w:tc>
          <w:tcPr>
            <w:tcW w:w="1720" w:type="dxa"/>
            <w:tcBorders>
              <w:top w:val="nil"/>
              <w:left w:val="nil"/>
              <w:bottom w:val="single" w:sz="8" w:space="0" w:color="9BC2E6"/>
              <w:right w:val="single" w:sz="8" w:space="0" w:color="auto"/>
            </w:tcBorders>
            <w:shd w:val="clear" w:color="auto" w:fill="DDEBF7"/>
            <w:noWrap/>
            <w:tcMar>
              <w:top w:w="0" w:type="dxa"/>
              <w:left w:w="108" w:type="dxa"/>
              <w:bottom w:w="0" w:type="dxa"/>
              <w:right w:w="108" w:type="dxa"/>
            </w:tcMar>
            <w:vAlign w:val="center"/>
            <w:hideMark/>
          </w:tcPr>
          <w:p w14:paraId="28F18DD9" w14:textId="77777777" w:rsidR="00F7797E" w:rsidRDefault="00F7797E">
            <w:pPr>
              <w:jc w:val="center"/>
              <w:rPr>
                <w:color w:val="000000"/>
                <w:lang w:eastAsia="en-GB"/>
              </w:rPr>
            </w:pPr>
            <w:r>
              <w:rPr>
                <w:color w:val="000000"/>
                <w:lang w:eastAsia="en-GB"/>
              </w:rPr>
              <w:t>IP</w:t>
            </w:r>
          </w:p>
        </w:tc>
      </w:tr>
      <w:tr w:rsidR="00F7797E" w14:paraId="5D49F7A8" w14:textId="77777777" w:rsidTr="00F7797E">
        <w:trPr>
          <w:trHeight w:val="87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769443" w14:textId="77777777" w:rsidR="00F7797E" w:rsidRDefault="00F7797E">
            <w:pPr>
              <w:jc w:val="right"/>
              <w:rPr>
                <w:lang w:eastAsia="en-GB"/>
              </w:rPr>
            </w:pPr>
            <w:proofErr w:type="gramStart"/>
            <w:r>
              <w:rPr>
                <w:lang w:eastAsia="en-GB"/>
              </w:rPr>
              <w:t>16-Feb</w:t>
            </w:r>
            <w:proofErr w:type="gramEnd"/>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2BAEA" w14:textId="77777777" w:rsidR="00F7797E" w:rsidRDefault="00F7797E">
            <w:pPr>
              <w:rPr>
                <w:color w:val="000000"/>
                <w:lang w:eastAsia="en-GB"/>
              </w:rPr>
            </w:pPr>
            <w:r>
              <w:rPr>
                <w:color w:val="000000"/>
                <w:lang w:eastAsia="en-GB"/>
              </w:rPr>
              <w:t xml:space="preserve">Command and Control Capabilities in support of Multi Domain </w:t>
            </w:r>
            <w:proofErr w:type="gramStart"/>
            <w:r>
              <w:rPr>
                <w:color w:val="000000"/>
                <w:lang w:eastAsia="en-GB"/>
              </w:rPr>
              <w:t>Operations - MDC2</w:t>
            </w:r>
            <w:proofErr w:type="gramEnd"/>
            <w:r>
              <w:rPr>
                <w:color w:val="000000"/>
                <w:lang w:eastAsia="en-GB"/>
              </w:rPr>
              <w:t xml:space="preserve"> (Multi Domain C2)</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695E0D" w14:textId="77777777" w:rsidR="00F7797E" w:rsidRDefault="00F7797E">
            <w:pPr>
              <w:jc w:val="center"/>
              <w:rPr>
                <w:color w:val="000000"/>
                <w:lang w:eastAsia="en-GB"/>
              </w:rPr>
            </w:pPr>
            <w:r>
              <w:rPr>
                <w:color w:val="000000"/>
                <w:lang w:eastAsia="en-GB"/>
              </w:rPr>
              <w:t>IP</w:t>
            </w:r>
          </w:p>
        </w:tc>
      </w:tr>
      <w:tr w:rsidR="00F7797E" w14:paraId="67075B38" w14:textId="77777777" w:rsidTr="00F7797E">
        <w:trPr>
          <w:trHeight w:val="870"/>
        </w:trPr>
        <w:tc>
          <w:tcPr>
            <w:tcW w:w="134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79AEC730" w14:textId="77777777" w:rsidR="00F7797E" w:rsidRDefault="00F7797E">
            <w:pPr>
              <w:jc w:val="right"/>
              <w:rPr>
                <w:lang w:eastAsia="en-GB"/>
              </w:rPr>
            </w:pPr>
            <w:proofErr w:type="gramStart"/>
            <w:r>
              <w:rPr>
                <w:color w:val="000000"/>
                <w:lang w:eastAsia="en-GB"/>
              </w:rPr>
              <w:t>23-Feb</w:t>
            </w:r>
            <w:proofErr w:type="gramEnd"/>
          </w:p>
        </w:tc>
        <w:tc>
          <w:tcPr>
            <w:tcW w:w="506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411C7080" w14:textId="77777777" w:rsidR="00F7797E" w:rsidRDefault="00F7797E">
            <w:pPr>
              <w:rPr>
                <w:color w:val="000000"/>
                <w:lang w:eastAsia="en-GB"/>
              </w:rPr>
            </w:pPr>
            <w:r>
              <w:rPr>
                <w:color w:val="000000"/>
                <w:lang w:eastAsia="en-GB"/>
              </w:rPr>
              <w:t>Information sharing in an international Federated Mission Networking Environment</w:t>
            </w:r>
          </w:p>
        </w:tc>
        <w:tc>
          <w:tcPr>
            <w:tcW w:w="17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7B14C646" w14:textId="77777777" w:rsidR="00F7797E" w:rsidRDefault="00F7797E">
            <w:pPr>
              <w:jc w:val="center"/>
              <w:rPr>
                <w:color w:val="000000"/>
                <w:lang w:eastAsia="en-GB"/>
              </w:rPr>
            </w:pPr>
            <w:r>
              <w:rPr>
                <w:color w:val="000000"/>
                <w:lang w:eastAsia="en-GB"/>
              </w:rPr>
              <w:t>IP</w:t>
            </w:r>
          </w:p>
        </w:tc>
      </w:tr>
      <w:tr w:rsidR="00F7797E" w14:paraId="03591E26" w14:textId="77777777" w:rsidTr="00F7797E">
        <w:trPr>
          <w:trHeight w:val="87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4373D9" w14:textId="77777777" w:rsidR="00F7797E" w:rsidRDefault="00F7797E">
            <w:pPr>
              <w:jc w:val="right"/>
              <w:rPr>
                <w:lang w:eastAsia="en-GB"/>
              </w:rPr>
            </w:pPr>
            <w:proofErr w:type="gramStart"/>
            <w:r>
              <w:rPr>
                <w:lang w:eastAsia="en-GB"/>
              </w:rPr>
              <w:t>23-Mar</w:t>
            </w:r>
            <w:proofErr w:type="gramEnd"/>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01303" w14:textId="77777777" w:rsidR="00F7797E" w:rsidRDefault="00F7797E">
            <w:pPr>
              <w:rPr>
                <w:color w:val="000000"/>
                <w:lang w:eastAsia="en-GB"/>
              </w:rPr>
            </w:pPr>
            <w:r>
              <w:rPr>
                <w:color w:val="000000"/>
                <w:lang w:eastAsia="en-GB"/>
              </w:rPr>
              <w:t>Ground Based Air Defence (GBAD) Survivability and Effectiveness in Joint Operations when faced by a Peer State Threat</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A6495C" w14:textId="77777777" w:rsidR="00F7797E" w:rsidRDefault="00F7797E">
            <w:pPr>
              <w:jc w:val="center"/>
              <w:rPr>
                <w:color w:val="000000"/>
                <w:lang w:eastAsia="en-GB"/>
              </w:rPr>
            </w:pPr>
            <w:r>
              <w:rPr>
                <w:color w:val="000000"/>
                <w:lang w:eastAsia="en-GB"/>
              </w:rPr>
              <w:t>N</w:t>
            </w:r>
          </w:p>
        </w:tc>
      </w:tr>
      <w:tr w:rsidR="00F7797E" w14:paraId="2E5F8FA9" w14:textId="77777777" w:rsidTr="00F7797E">
        <w:trPr>
          <w:trHeight w:val="870"/>
        </w:trPr>
        <w:tc>
          <w:tcPr>
            <w:tcW w:w="134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0CE65579" w14:textId="77777777" w:rsidR="00F7797E" w:rsidRDefault="00F7797E">
            <w:pPr>
              <w:jc w:val="right"/>
              <w:rPr>
                <w:lang w:eastAsia="en-GB"/>
              </w:rPr>
            </w:pPr>
            <w:proofErr w:type="gramStart"/>
            <w:r>
              <w:rPr>
                <w:color w:val="000000"/>
                <w:lang w:eastAsia="en-GB"/>
              </w:rPr>
              <w:t>30-Mar</w:t>
            </w:r>
            <w:proofErr w:type="gramEnd"/>
          </w:p>
        </w:tc>
        <w:tc>
          <w:tcPr>
            <w:tcW w:w="506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B69C93D" w14:textId="77777777" w:rsidR="00F7797E" w:rsidRDefault="00F7797E">
            <w:pPr>
              <w:rPr>
                <w:color w:val="000000"/>
                <w:lang w:eastAsia="en-GB"/>
              </w:rPr>
            </w:pPr>
            <w:r>
              <w:rPr>
                <w:color w:val="000000"/>
                <w:lang w:eastAsia="en-GB"/>
              </w:rPr>
              <w:t>Joint-Domain NATO Rotorcraft Interoperability and Survivability in a Peer Nation Threat Environment</w:t>
            </w:r>
          </w:p>
        </w:tc>
        <w:tc>
          <w:tcPr>
            <w:tcW w:w="17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245A118A" w14:textId="77777777" w:rsidR="00F7797E" w:rsidRDefault="00F7797E">
            <w:pPr>
              <w:jc w:val="center"/>
              <w:rPr>
                <w:color w:val="000000"/>
                <w:lang w:eastAsia="en-GB"/>
              </w:rPr>
            </w:pPr>
            <w:r>
              <w:rPr>
                <w:color w:val="000000"/>
                <w:lang w:eastAsia="en-GB"/>
              </w:rPr>
              <w:t>N</w:t>
            </w:r>
          </w:p>
        </w:tc>
      </w:tr>
      <w:tr w:rsidR="00F7797E" w14:paraId="0D04473A" w14:textId="77777777" w:rsidTr="00F7797E">
        <w:trPr>
          <w:trHeight w:val="87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170689" w14:textId="77777777" w:rsidR="00F7797E" w:rsidRDefault="00F7797E">
            <w:pPr>
              <w:jc w:val="right"/>
              <w:rPr>
                <w:lang w:eastAsia="en-GB"/>
              </w:rPr>
            </w:pPr>
            <w:proofErr w:type="gramStart"/>
            <w:r>
              <w:rPr>
                <w:lang w:eastAsia="en-GB"/>
              </w:rPr>
              <w:t>20-Apr</w:t>
            </w:r>
            <w:proofErr w:type="gramEnd"/>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27BD4" w14:textId="77777777" w:rsidR="00F7797E" w:rsidRDefault="00F7797E">
            <w:pPr>
              <w:rPr>
                <w:color w:val="000000"/>
                <w:lang w:eastAsia="en-GB"/>
              </w:rPr>
            </w:pPr>
            <w:r>
              <w:rPr>
                <w:color w:val="000000"/>
                <w:lang w:eastAsia="en-GB"/>
              </w:rPr>
              <w:t>Sense and Avoid Performance Based Specification Validation</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35477C" w14:textId="77777777" w:rsidR="00F7797E" w:rsidRDefault="00F7797E">
            <w:pPr>
              <w:jc w:val="center"/>
              <w:rPr>
                <w:color w:val="000000"/>
                <w:lang w:eastAsia="en-GB"/>
              </w:rPr>
            </w:pPr>
            <w:r>
              <w:rPr>
                <w:color w:val="000000"/>
                <w:lang w:eastAsia="en-GB"/>
              </w:rPr>
              <w:t>Y + ISR</w:t>
            </w:r>
          </w:p>
        </w:tc>
      </w:tr>
      <w:tr w:rsidR="00F7797E" w14:paraId="0913F5FC" w14:textId="77777777" w:rsidTr="00F7797E">
        <w:trPr>
          <w:trHeight w:val="870"/>
        </w:trPr>
        <w:tc>
          <w:tcPr>
            <w:tcW w:w="134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782D3430" w14:textId="77777777" w:rsidR="00F7797E" w:rsidRDefault="00F7797E">
            <w:pPr>
              <w:jc w:val="right"/>
              <w:rPr>
                <w:lang w:eastAsia="en-GB"/>
              </w:rPr>
            </w:pPr>
            <w:proofErr w:type="gramStart"/>
            <w:r>
              <w:rPr>
                <w:color w:val="000000"/>
                <w:lang w:eastAsia="en-GB"/>
              </w:rPr>
              <w:t>27-Apr</w:t>
            </w:r>
            <w:proofErr w:type="gramEnd"/>
          </w:p>
        </w:tc>
        <w:tc>
          <w:tcPr>
            <w:tcW w:w="506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9381783" w14:textId="77777777" w:rsidR="00F7797E" w:rsidRDefault="00F7797E">
            <w:pPr>
              <w:rPr>
                <w:color w:val="000000"/>
                <w:lang w:eastAsia="en-GB"/>
              </w:rPr>
            </w:pPr>
            <w:r>
              <w:rPr>
                <w:color w:val="000000"/>
                <w:lang w:eastAsia="en-GB"/>
              </w:rPr>
              <w:t>Solutions for NATO’s Current and Future Gap-Crossing Capability</w:t>
            </w:r>
          </w:p>
        </w:tc>
        <w:tc>
          <w:tcPr>
            <w:tcW w:w="17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77EAE304" w14:textId="77777777" w:rsidR="00F7797E" w:rsidRDefault="00F7797E">
            <w:pPr>
              <w:jc w:val="center"/>
              <w:rPr>
                <w:color w:val="000000"/>
                <w:lang w:eastAsia="en-GB"/>
              </w:rPr>
            </w:pPr>
            <w:r>
              <w:rPr>
                <w:color w:val="000000"/>
                <w:lang w:eastAsia="en-GB"/>
              </w:rPr>
              <w:t>IP</w:t>
            </w:r>
          </w:p>
        </w:tc>
      </w:tr>
      <w:tr w:rsidR="00F7797E" w14:paraId="110A50B3" w14:textId="77777777" w:rsidTr="00F7797E">
        <w:trPr>
          <w:trHeight w:val="87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D07CD1" w14:textId="77777777" w:rsidR="00F7797E" w:rsidRDefault="00F7797E">
            <w:pPr>
              <w:jc w:val="right"/>
              <w:rPr>
                <w:lang w:eastAsia="en-GB"/>
              </w:rPr>
            </w:pPr>
            <w:proofErr w:type="gramStart"/>
            <w:r>
              <w:rPr>
                <w:lang w:eastAsia="en-GB"/>
              </w:rPr>
              <w:t>06-May</w:t>
            </w:r>
            <w:proofErr w:type="gramEnd"/>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14794" w14:textId="77777777" w:rsidR="00F7797E" w:rsidRDefault="00F7797E">
            <w:pPr>
              <w:rPr>
                <w:color w:val="000000"/>
                <w:lang w:eastAsia="en-GB"/>
              </w:rPr>
            </w:pPr>
            <w:r>
              <w:rPr>
                <w:color w:val="000000"/>
                <w:lang w:eastAsia="en-GB"/>
              </w:rPr>
              <w:t>Scalable Directed Energy Weapons</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33B097" w14:textId="77777777" w:rsidR="00F7797E" w:rsidRDefault="00F7797E">
            <w:pPr>
              <w:jc w:val="center"/>
              <w:rPr>
                <w:color w:val="000000"/>
                <w:lang w:eastAsia="en-GB"/>
              </w:rPr>
            </w:pPr>
            <w:r>
              <w:rPr>
                <w:color w:val="000000"/>
                <w:lang w:eastAsia="en-GB"/>
              </w:rPr>
              <w:t>SWE and SWI</w:t>
            </w:r>
          </w:p>
        </w:tc>
      </w:tr>
      <w:tr w:rsidR="00F7797E" w14:paraId="1DFF1AFB" w14:textId="77777777" w:rsidTr="00F7797E">
        <w:trPr>
          <w:trHeight w:val="870"/>
        </w:trPr>
        <w:tc>
          <w:tcPr>
            <w:tcW w:w="134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53C68D36" w14:textId="77777777" w:rsidR="00F7797E" w:rsidRDefault="00F7797E">
            <w:pPr>
              <w:jc w:val="right"/>
              <w:rPr>
                <w:lang w:eastAsia="en-GB"/>
              </w:rPr>
            </w:pPr>
            <w:proofErr w:type="gramStart"/>
            <w:r>
              <w:rPr>
                <w:color w:val="000000"/>
                <w:lang w:eastAsia="en-GB"/>
              </w:rPr>
              <w:t>18-May</w:t>
            </w:r>
            <w:proofErr w:type="gramEnd"/>
          </w:p>
        </w:tc>
        <w:tc>
          <w:tcPr>
            <w:tcW w:w="506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3243493" w14:textId="77777777" w:rsidR="00F7797E" w:rsidRDefault="00F7797E">
            <w:pPr>
              <w:rPr>
                <w:color w:val="000000"/>
                <w:lang w:eastAsia="en-GB"/>
              </w:rPr>
            </w:pPr>
            <w:r>
              <w:rPr>
                <w:color w:val="000000"/>
                <w:lang w:eastAsia="en-GB"/>
              </w:rPr>
              <w:t>Platform Interface Standards for Maritime Unmanned Systems</w:t>
            </w:r>
          </w:p>
        </w:tc>
        <w:tc>
          <w:tcPr>
            <w:tcW w:w="17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1F01AAB8" w14:textId="77777777" w:rsidR="00F7797E" w:rsidRDefault="00F7797E">
            <w:pPr>
              <w:jc w:val="center"/>
              <w:rPr>
                <w:color w:val="000000"/>
                <w:lang w:eastAsia="en-GB"/>
              </w:rPr>
            </w:pPr>
            <w:r>
              <w:rPr>
                <w:color w:val="000000"/>
                <w:lang w:eastAsia="en-GB"/>
              </w:rPr>
              <w:t>IP</w:t>
            </w:r>
          </w:p>
        </w:tc>
      </w:tr>
      <w:tr w:rsidR="00F7797E" w14:paraId="0418C0C7" w14:textId="77777777" w:rsidTr="00F7797E">
        <w:trPr>
          <w:trHeight w:val="87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BADA43" w14:textId="77777777" w:rsidR="00F7797E" w:rsidRDefault="00F7797E">
            <w:pPr>
              <w:rPr>
                <w:lang w:eastAsia="en-GB"/>
              </w:rPr>
            </w:pPr>
            <w:r>
              <w:rPr>
                <w:lang w:eastAsia="en-GB"/>
              </w:rPr>
              <w:t>June (date tbd)</w:t>
            </w:r>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41654" w14:textId="77777777" w:rsidR="00F7797E" w:rsidRDefault="00F7797E">
            <w:pPr>
              <w:rPr>
                <w:color w:val="000000"/>
                <w:lang w:eastAsia="en-GB"/>
              </w:rPr>
            </w:pPr>
            <w:r>
              <w:rPr>
                <w:color w:val="000000"/>
                <w:lang w:eastAsia="en-GB"/>
              </w:rPr>
              <w:t>Stand-off Anti-Submarine Warfare (ASW) Effector</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97420" w14:textId="77777777" w:rsidR="00F7797E" w:rsidRDefault="00F7797E">
            <w:pPr>
              <w:jc w:val="center"/>
              <w:rPr>
                <w:color w:val="000000"/>
                <w:lang w:eastAsia="en-GB"/>
              </w:rPr>
            </w:pPr>
            <w:r>
              <w:rPr>
                <w:color w:val="000000"/>
                <w:lang w:eastAsia="en-GB"/>
              </w:rPr>
              <w:t>N</w:t>
            </w:r>
          </w:p>
        </w:tc>
      </w:tr>
      <w:tr w:rsidR="00F7797E" w14:paraId="031E130D" w14:textId="77777777" w:rsidTr="00F7797E">
        <w:trPr>
          <w:trHeight w:val="870"/>
        </w:trPr>
        <w:tc>
          <w:tcPr>
            <w:tcW w:w="134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44A83AE7" w14:textId="77777777" w:rsidR="00F7797E" w:rsidRDefault="00F7797E">
            <w:pPr>
              <w:rPr>
                <w:lang w:eastAsia="en-GB"/>
              </w:rPr>
            </w:pPr>
            <w:r>
              <w:rPr>
                <w:color w:val="000000"/>
                <w:lang w:eastAsia="en-GB"/>
              </w:rPr>
              <w:t>June (date tbd)</w:t>
            </w:r>
          </w:p>
        </w:tc>
        <w:tc>
          <w:tcPr>
            <w:tcW w:w="506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4E89AFF" w14:textId="77777777" w:rsidR="00F7797E" w:rsidRDefault="00F7797E">
            <w:pPr>
              <w:rPr>
                <w:color w:val="000000"/>
                <w:lang w:eastAsia="en-GB"/>
              </w:rPr>
            </w:pPr>
            <w:r>
              <w:rPr>
                <w:color w:val="000000"/>
                <w:lang w:eastAsia="en-GB"/>
              </w:rPr>
              <w:t>Modelling of Cyber Adversaries to NATO’s Aviation Systems</w:t>
            </w:r>
          </w:p>
        </w:tc>
        <w:tc>
          <w:tcPr>
            <w:tcW w:w="17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6A8ECB67" w14:textId="77777777" w:rsidR="00F7797E" w:rsidRDefault="00F7797E">
            <w:pPr>
              <w:jc w:val="center"/>
              <w:rPr>
                <w:color w:val="000000"/>
                <w:lang w:eastAsia="en-GB"/>
              </w:rPr>
            </w:pPr>
            <w:r>
              <w:rPr>
                <w:color w:val="000000"/>
                <w:lang w:eastAsia="en-GB"/>
              </w:rPr>
              <w:t>y</w:t>
            </w:r>
          </w:p>
        </w:tc>
      </w:tr>
    </w:tbl>
    <w:p w14:paraId="54565E07" w14:textId="77777777" w:rsidR="006536FD" w:rsidRDefault="006536FD"/>
    <w:sectPr w:rsidR="00653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90"/>
    <w:rsid w:val="00611B90"/>
    <w:rsid w:val="006536FD"/>
    <w:rsid w:val="00F77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F4D48-F649-4BD4-A53E-3FE28D0A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797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1165</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Svoboda</dc:creator>
  <cp:keywords/>
  <dc:description/>
  <cp:lastModifiedBy>Daniel Svoboda</cp:lastModifiedBy>
  <cp:revision>3</cp:revision>
  <dcterms:created xsi:type="dcterms:W3CDTF">2021-01-21T10:51:00Z</dcterms:created>
  <dcterms:modified xsi:type="dcterms:W3CDTF">2021-01-21T10:53:00Z</dcterms:modified>
</cp:coreProperties>
</file>